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AE46" w14:textId="77777777" w:rsidR="00A77B3E" w:rsidRPr="006753BF" w:rsidRDefault="00F1755A">
      <w:pPr>
        <w:tabs>
          <w:tab w:val="right" w:pos="9340"/>
          <w:tab w:val="left" w:pos="9360"/>
          <w:tab w:val="left" w:pos="10080"/>
          <w:tab w:val="left" w:pos="10800"/>
          <w:tab w:val="left" w:pos="11520"/>
        </w:tabs>
        <w:spacing w:after="100" w:line="288" w:lineRule="auto"/>
        <w:jc w:val="right"/>
        <w:rPr>
          <w:rFonts w:ascii="Arial" w:eastAsia="Arial" w:hAnsi="Arial" w:cs="Arial"/>
          <w:sz w:val="20"/>
        </w:rPr>
      </w:pPr>
      <w:bookmarkStart w:id="0" w:name="_GoBack"/>
      <w:bookmarkEnd w:id="0"/>
      <w:r>
        <w:rPr>
          <w:noProof/>
          <w:lang w:eastAsia="el-GR"/>
        </w:rPr>
        <w:drawing>
          <wp:inline distT="0" distB="0" distL="0" distR="0" wp14:anchorId="4DFEB18B" wp14:editId="4DFEB18C">
            <wp:extent cx="14859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825500"/>
                    </a:xfrm>
                    <a:prstGeom prst="rect">
                      <a:avLst/>
                    </a:prstGeom>
                    <a:noFill/>
                    <a:ln>
                      <a:noFill/>
                    </a:ln>
                  </pic:spPr>
                </pic:pic>
              </a:graphicData>
            </a:graphic>
          </wp:inline>
        </w:drawing>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3105"/>
      </w:tblGrid>
      <w:tr w:rsidR="00BC2819" w:rsidRPr="006753BF" w14:paraId="4DFEAE49" w14:textId="77777777">
        <w:trPr>
          <w:cantSplit/>
          <w:trHeight w:hRule="exact" w:val="300"/>
        </w:trPr>
        <w:tc>
          <w:tcPr>
            <w:tcW w:w="7155" w:type="dxa"/>
            <w:tcBorders>
              <w:top w:val="nil"/>
              <w:left w:val="nil"/>
              <w:bottom w:val="nil"/>
              <w:right w:val="nil"/>
            </w:tcBorders>
            <w:tcMar>
              <w:top w:w="0" w:type="dxa"/>
              <w:left w:w="53" w:type="dxa"/>
              <w:bottom w:w="0" w:type="dxa"/>
              <w:right w:w="53" w:type="dxa"/>
            </w:tcMar>
            <w:vAlign w:val="bottom"/>
          </w:tcPr>
          <w:p w14:paraId="4DFEAE47" w14:textId="77777777" w:rsidR="00BC2819" w:rsidRPr="006753BF" w:rsidRDefault="008673D2">
            <w:pPr>
              <w:keepNext/>
              <w:spacing w:before="53" w:after="30"/>
            </w:pPr>
            <w:r w:rsidRPr="006753BF">
              <w:rPr>
                <w:rFonts w:ascii="Arial" w:hAnsi="Arial"/>
                <w:b/>
                <w:color w:val="000000"/>
              </w:rPr>
              <w:t>ΔΕΛΤΙΟ ΤΥΠΟΥ</w:t>
            </w:r>
          </w:p>
        </w:tc>
        <w:tc>
          <w:tcPr>
            <w:tcW w:w="3105" w:type="dxa"/>
            <w:tcBorders>
              <w:top w:val="nil"/>
              <w:left w:val="nil"/>
              <w:bottom w:val="nil"/>
              <w:right w:val="nil"/>
            </w:tcBorders>
            <w:tcMar>
              <w:top w:w="0" w:type="dxa"/>
              <w:left w:w="0" w:type="dxa"/>
              <w:bottom w:w="0" w:type="dxa"/>
              <w:right w:w="0" w:type="dxa"/>
            </w:tcMar>
            <w:vAlign w:val="bottom"/>
          </w:tcPr>
          <w:p w14:paraId="4DFEAE48" w14:textId="77777777" w:rsidR="00BC2819" w:rsidRPr="006753BF" w:rsidRDefault="00BC2819">
            <w:pPr>
              <w:keepNext/>
            </w:pPr>
          </w:p>
        </w:tc>
      </w:tr>
      <w:tr w:rsidR="00BC2819" w:rsidRPr="006753BF" w14:paraId="4DFEAE4C" w14:textId="77777777">
        <w:trPr>
          <w:cantSplit/>
          <w:trHeight w:hRule="exact" w:val="300"/>
        </w:trPr>
        <w:tc>
          <w:tcPr>
            <w:tcW w:w="7155" w:type="dxa"/>
            <w:tcBorders>
              <w:top w:val="nil"/>
              <w:left w:val="nil"/>
              <w:bottom w:val="nil"/>
              <w:right w:val="nil"/>
            </w:tcBorders>
            <w:tcMar>
              <w:top w:w="0" w:type="dxa"/>
              <w:left w:w="53" w:type="dxa"/>
              <w:bottom w:w="0" w:type="dxa"/>
              <w:right w:w="53" w:type="dxa"/>
            </w:tcMar>
            <w:vAlign w:val="bottom"/>
          </w:tcPr>
          <w:p w14:paraId="4DFEAE4A" w14:textId="72750D0A" w:rsidR="00BC2819" w:rsidRPr="006753BF" w:rsidRDefault="008673D2">
            <w:pPr>
              <w:spacing w:before="53" w:after="30"/>
            </w:pPr>
            <w:r w:rsidRPr="006753BF">
              <w:rPr>
                <w:rFonts w:ascii="Arial" w:hAnsi="Arial"/>
                <w:b/>
                <w:color w:val="000000"/>
              </w:rPr>
              <w:t>TSX: ELD</w:t>
            </w:r>
            <w:r w:rsidR="006753BF" w:rsidRPr="006753BF">
              <w:rPr>
                <w:rFonts w:ascii="Arial" w:hAnsi="Arial"/>
                <w:b/>
                <w:color w:val="000000"/>
              </w:rPr>
              <w:t xml:space="preserve"> </w:t>
            </w:r>
            <w:r w:rsidR="000072FF">
              <w:rPr>
                <w:rFonts w:ascii="Arial" w:hAnsi="Arial"/>
                <w:b/>
                <w:color w:val="000000"/>
                <w:lang w:val="en-US"/>
              </w:rPr>
              <w:tab/>
            </w:r>
            <w:r w:rsidRPr="006753BF">
              <w:rPr>
                <w:rFonts w:ascii="Arial" w:hAnsi="Arial"/>
                <w:b/>
                <w:color w:val="000000"/>
              </w:rPr>
              <w:t>NYSE: EGO</w:t>
            </w:r>
          </w:p>
        </w:tc>
        <w:tc>
          <w:tcPr>
            <w:tcW w:w="3105" w:type="dxa"/>
            <w:tcBorders>
              <w:top w:val="nil"/>
              <w:left w:val="nil"/>
              <w:bottom w:val="nil"/>
              <w:right w:val="nil"/>
            </w:tcBorders>
            <w:tcMar>
              <w:top w:w="0" w:type="dxa"/>
              <w:left w:w="0" w:type="dxa"/>
              <w:bottom w:w="0" w:type="dxa"/>
              <w:right w:w="53" w:type="dxa"/>
            </w:tcMar>
            <w:vAlign w:val="bottom"/>
          </w:tcPr>
          <w:p w14:paraId="4DFEAE4B" w14:textId="77777777" w:rsidR="00BC2819" w:rsidRPr="006753BF" w:rsidRDefault="008673D2">
            <w:pPr>
              <w:spacing w:before="53" w:after="30"/>
              <w:jc w:val="right"/>
            </w:pPr>
            <w:r w:rsidRPr="006753BF">
              <w:rPr>
                <w:rFonts w:ascii="Arial" w:hAnsi="Arial"/>
                <w:b/>
                <w:color w:val="000000"/>
              </w:rPr>
              <w:t>20 Φεβρουαρίου 2025</w:t>
            </w:r>
          </w:p>
        </w:tc>
      </w:tr>
    </w:tbl>
    <w:p w14:paraId="4DFEAE4D" w14:textId="77777777" w:rsidR="00BC2819" w:rsidRPr="006753BF" w:rsidRDefault="008673D2">
      <w:pPr>
        <w:tabs>
          <w:tab w:val="right" w:pos="9480"/>
          <w:tab w:val="left" w:pos="10260"/>
          <w:tab w:val="left" w:pos="10800"/>
          <w:tab w:val="left" w:pos="11520"/>
        </w:tabs>
        <w:spacing w:line="288" w:lineRule="auto"/>
        <w:jc w:val="right"/>
        <w:rPr>
          <w:rFonts w:ascii="Arial" w:eastAsia="Arial" w:hAnsi="Arial" w:cs="Arial"/>
          <w:b/>
        </w:rPr>
      </w:pPr>
      <w:r w:rsidRPr="006753BF">
        <w:rPr>
          <w:rFonts w:ascii="Arial" w:hAnsi="Arial"/>
          <w:b/>
        </w:rPr>
        <w:tab/>
      </w:r>
    </w:p>
    <w:p w14:paraId="4DFEAE4E" w14:textId="77777777" w:rsidR="00BC2819" w:rsidRPr="006753BF" w:rsidRDefault="008673D2">
      <w:pPr>
        <w:tabs>
          <w:tab w:val="right" w:pos="9340"/>
          <w:tab w:val="right" w:pos="9900"/>
          <w:tab w:val="left" w:pos="10080"/>
          <w:tab w:val="left" w:pos="10800"/>
          <w:tab w:val="left" w:pos="11520"/>
        </w:tabs>
        <w:spacing w:line="288" w:lineRule="auto"/>
        <w:jc w:val="center"/>
        <w:rPr>
          <w:rFonts w:ascii="Arial" w:eastAsia="Arial" w:hAnsi="Arial" w:cs="Arial"/>
          <w:b/>
          <w:sz w:val="28"/>
        </w:rPr>
      </w:pPr>
      <w:r w:rsidRPr="006753BF">
        <w:rPr>
          <w:rFonts w:ascii="Arial" w:hAnsi="Arial"/>
          <w:b/>
          <w:sz w:val="28"/>
        </w:rPr>
        <w:t xml:space="preserve">Η Eldorado Gold επιτυγχάνει εύρωστα οικονομικά και επιχειρησιακά αποτελέσματα για όλο το έτος και το τέταρτο τρίμηνο του </w:t>
      </w:r>
      <w:r w:rsidRPr="006753BF">
        <w:rPr>
          <w:rFonts w:ascii="Arial" w:hAnsi="Arial"/>
          <w:b/>
          <w:color w:val="000000"/>
          <w:sz w:val="28"/>
        </w:rPr>
        <w:t>2024</w:t>
      </w:r>
      <w:r w:rsidRPr="006753BF">
        <w:rPr>
          <w:rFonts w:ascii="Arial" w:hAnsi="Arial"/>
          <w:b/>
          <w:sz w:val="28"/>
        </w:rPr>
        <w:t xml:space="preserve">. </w:t>
      </w:r>
    </w:p>
    <w:p w14:paraId="4DFEAE4F" w14:textId="77777777" w:rsidR="00BC2819" w:rsidRPr="006753BF" w:rsidRDefault="008673D2">
      <w:pPr>
        <w:tabs>
          <w:tab w:val="right" w:pos="9340"/>
          <w:tab w:val="right" w:pos="9900"/>
          <w:tab w:val="left" w:pos="10080"/>
          <w:tab w:val="left" w:pos="10800"/>
          <w:tab w:val="left" w:pos="11520"/>
        </w:tabs>
        <w:spacing w:line="269" w:lineRule="auto"/>
        <w:jc w:val="center"/>
        <w:rPr>
          <w:rFonts w:ascii="Arial" w:eastAsia="Arial" w:hAnsi="Arial" w:cs="Arial"/>
          <w:b/>
          <w:sz w:val="28"/>
        </w:rPr>
      </w:pPr>
      <w:r w:rsidRPr="006753BF">
        <w:rPr>
          <w:rFonts w:ascii="Arial" w:hAnsi="Arial"/>
          <w:b/>
          <w:sz w:val="28"/>
        </w:rPr>
        <w:t>Θετικές ελεύθερες ταμειακές ροές εντός του τριμήνου και όλου του έτους</w:t>
      </w:r>
    </w:p>
    <w:p w14:paraId="4DFEAE50" w14:textId="77777777" w:rsidR="00D8650C" w:rsidRPr="006753BF" w:rsidRDefault="00D8650C">
      <w:pPr>
        <w:tabs>
          <w:tab w:val="right" w:pos="9340"/>
          <w:tab w:val="right" w:pos="9900"/>
          <w:tab w:val="left" w:pos="10080"/>
          <w:tab w:val="left" w:pos="10800"/>
          <w:tab w:val="left" w:pos="11520"/>
        </w:tabs>
        <w:spacing w:line="269" w:lineRule="auto"/>
        <w:jc w:val="center"/>
        <w:rPr>
          <w:rFonts w:ascii="Arial" w:eastAsia="Arial" w:hAnsi="Arial" w:cs="Arial"/>
          <w:sz w:val="20"/>
        </w:rPr>
      </w:pPr>
    </w:p>
    <w:p w14:paraId="4DFEAE51" w14:textId="77777777" w:rsidR="00BC2819" w:rsidRPr="006753BF" w:rsidRDefault="00BC2819">
      <w:pPr>
        <w:spacing w:line="288" w:lineRule="auto"/>
        <w:jc w:val="both"/>
        <w:rPr>
          <w:rFonts w:ascii="Arial" w:eastAsia="Arial" w:hAnsi="Arial" w:cs="Arial"/>
          <w:sz w:val="20"/>
        </w:rPr>
      </w:pPr>
    </w:p>
    <w:p w14:paraId="4DFEAE52" w14:textId="77777777" w:rsidR="00BC2819" w:rsidRPr="006753BF" w:rsidRDefault="008673D2">
      <w:pPr>
        <w:spacing w:line="269" w:lineRule="auto"/>
        <w:jc w:val="center"/>
        <w:rPr>
          <w:rFonts w:ascii="Arial" w:eastAsia="Arial" w:hAnsi="Arial" w:cs="Arial"/>
          <w:sz w:val="20"/>
        </w:rPr>
      </w:pPr>
      <w:r w:rsidRPr="006753BF">
        <w:rPr>
          <w:rFonts w:ascii="Arial" w:hAnsi="Arial"/>
          <w:sz w:val="20"/>
        </w:rPr>
        <w:t>(Όλα τα ποσά εκφράζονται σε δολάρια ΗΠΑ εκτός εάν επισημαίνεται διαφορετικά)</w:t>
      </w:r>
    </w:p>
    <w:p w14:paraId="4DFEAE53" w14:textId="77777777" w:rsidR="00BC2819" w:rsidRPr="006753BF" w:rsidRDefault="00BC2819">
      <w:pPr>
        <w:spacing w:line="269" w:lineRule="auto"/>
        <w:jc w:val="center"/>
        <w:rPr>
          <w:rFonts w:ascii="Arial" w:eastAsia="Arial" w:hAnsi="Arial" w:cs="Arial"/>
          <w:sz w:val="20"/>
        </w:rPr>
      </w:pPr>
    </w:p>
    <w:p w14:paraId="4DFEAE54" w14:textId="200732BB" w:rsidR="00BC2819" w:rsidRPr="006753BF" w:rsidRDefault="008673D2" w:rsidP="783BBF32">
      <w:pPr>
        <w:spacing w:line="269" w:lineRule="auto"/>
        <w:jc w:val="both"/>
        <w:rPr>
          <w:rFonts w:ascii="Arial" w:eastAsia="Arial" w:hAnsi="Arial" w:cs="Arial"/>
          <w:sz w:val="20"/>
          <w:szCs w:val="20"/>
        </w:rPr>
      </w:pPr>
      <w:r w:rsidRPr="783BBF32">
        <w:rPr>
          <w:rFonts w:ascii="Arial" w:hAnsi="Arial"/>
          <w:sz w:val="20"/>
          <w:szCs w:val="20"/>
        </w:rPr>
        <w:t xml:space="preserve">ΒΑΝΚΟΥΒΕΡ, Βρετανική Κολούμπια — Η Eldorado Gold Corporation («Eldorado» ή «η Εταιρεία») δημοσιεύει σήμερα τα οικονομικά και επιχειρησιακά αποτελέσματα της Εταιρείας για το τέταρτο τρίμηνο και τη χρήση που έληξε στις 31 Δεκεμβρίου 2024. </w:t>
      </w:r>
    </w:p>
    <w:p w14:paraId="4DFEAE55" w14:textId="77777777" w:rsidR="00BC2819" w:rsidRPr="006753BF" w:rsidRDefault="008673D2">
      <w:pPr>
        <w:spacing w:before="240" w:line="288" w:lineRule="auto"/>
        <w:rPr>
          <w:rFonts w:ascii="Arial" w:eastAsia="Arial" w:hAnsi="Arial" w:cs="Arial"/>
          <w:b/>
          <w:sz w:val="28"/>
        </w:rPr>
      </w:pPr>
      <w:r w:rsidRPr="006753BF">
        <w:rPr>
          <w:rFonts w:ascii="Arial" w:hAnsi="Arial"/>
          <w:b/>
          <w:sz w:val="22"/>
        </w:rPr>
        <w:t xml:space="preserve">Σύνοψη τέταρτου τριμήνου 2024 και πλήρους έτους </w:t>
      </w:r>
    </w:p>
    <w:p w14:paraId="4DFEAE56" w14:textId="77777777" w:rsidR="00BC2819" w:rsidRPr="006753BF" w:rsidRDefault="008673D2">
      <w:pPr>
        <w:spacing w:before="240" w:line="288" w:lineRule="auto"/>
        <w:jc w:val="both"/>
        <w:rPr>
          <w:rFonts w:ascii="Arial" w:eastAsia="Arial" w:hAnsi="Arial" w:cs="Arial"/>
          <w:b/>
          <w:color w:val="000000"/>
          <w:sz w:val="22"/>
          <w:shd w:val="clear" w:color="auto" w:fill="FFFFFF"/>
        </w:rPr>
      </w:pPr>
      <w:r w:rsidRPr="006753BF">
        <w:rPr>
          <w:rFonts w:ascii="Arial" w:hAnsi="Arial"/>
          <w:b/>
          <w:color w:val="000000"/>
          <w:sz w:val="22"/>
          <w:shd w:val="clear" w:color="auto" w:fill="FFFFFF"/>
        </w:rPr>
        <w:t>Δραστηριότητες</w:t>
      </w:r>
    </w:p>
    <w:p w14:paraId="4DFEAE57" w14:textId="5564E671" w:rsidR="00BC2819" w:rsidRPr="006753BF" w:rsidRDefault="008673D2" w:rsidP="783BBF32">
      <w:pPr>
        <w:numPr>
          <w:ilvl w:val="0"/>
          <w:numId w:val="14"/>
        </w:numPr>
        <w:spacing w:before="120" w:line="288" w:lineRule="auto"/>
        <w:jc w:val="both"/>
        <w:rPr>
          <w:rFonts w:ascii="Arial" w:eastAsia="Arial" w:hAnsi="Arial" w:cs="Arial"/>
          <w:b/>
          <w:bCs/>
          <w:sz w:val="20"/>
          <w:szCs w:val="20"/>
        </w:rPr>
      </w:pPr>
      <w:r w:rsidRPr="783BBF32">
        <w:rPr>
          <w:rFonts w:ascii="Arial" w:hAnsi="Arial"/>
          <w:b/>
          <w:bCs/>
          <w:sz w:val="20"/>
          <w:szCs w:val="20"/>
        </w:rPr>
        <w:t>Παραγωγή χρυσού:</w:t>
      </w:r>
      <w:r w:rsidRPr="783BBF32">
        <w:rPr>
          <w:rFonts w:ascii="Arial" w:hAnsi="Arial"/>
          <w:b/>
          <w:bCs/>
          <w:color w:val="000000"/>
          <w:sz w:val="20"/>
          <w:szCs w:val="20"/>
          <w:shd w:val="clear" w:color="auto" w:fill="FFFFFF"/>
        </w:rPr>
        <w:t xml:space="preserve"> </w:t>
      </w:r>
      <w:r w:rsidRPr="783BBF32">
        <w:rPr>
          <w:rFonts w:ascii="Arial" w:hAnsi="Arial"/>
          <w:sz w:val="20"/>
          <w:szCs w:val="20"/>
        </w:rPr>
        <w:t>155.668 ουγγιές το τέταρτο τρίμηνο του 2024, αποτυπώνοντας τις συνεχείς βελτιώσεις σε όλο το χαρτοφυλάκιο. Η παραγωγή όλου του 2024 στις 520.293 ουγγιές</w:t>
      </w:r>
      <w:r w:rsidR="00DF62AB" w:rsidRPr="783BBF32">
        <w:rPr>
          <w:rFonts w:ascii="Arial" w:hAnsi="Arial"/>
          <w:sz w:val="20"/>
          <w:szCs w:val="20"/>
        </w:rPr>
        <w:t>,</w:t>
      </w:r>
      <w:r w:rsidRPr="783BBF32">
        <w:rPr>
          <w:rFonts w:ascii="Arial" w:hAnsi="Arial"/>
          <w:sz w:val="20"/>
          <w:szCs w:val="20"/>
        </w:rPr>
        <w:t xml:space="preserve"> ήταν στο μέσο του πιο μετριοπαθούς στόχου που τέθηκε και σημειώθηκε αύξηση 7% από την παραγωγή του 2023 με τις 485.139 ουγγιές, χάρη στις επιχειρησιακές αναβαθμίσεις στο Kisladag και στον υψηλότερο ρυθμό εκμετάλλευσης και την υψηλότερη παραγωγή μεταλλεύματος στο</w:t>
      </w:r>
      <w:r w:rsidR="006753BF" w:rsidRPr="783BBF32">
        <w:rPr>
          <w:rFonts w:ascii="Arial" w:hAnsi="Arial"/>
          <w:sz w:val="20"/>
          <w:szCs w:val="20"/>
        </w:rPr>
        <w:t xml:space="preserve"> </w:t>
      </w:r>
      <w:r w:rsidRPr="783BBF32">
        <w:rPr>
          <w:rFonts w:ascii="Arial" w:hAnsi="Arial"/>
          <w:sz w:val="20"/>
          <w:szCs w:val="20"/>
        </w:rPr>
        <w:t xml:space="preserve">Lamaque. </w:t>
      </w:r>
    </w:p>
    <w:p w14:paraId="4DFEAE58" w14:textId="77777777" w:rsidR="00BC2819" w:rsidRPr="006753BF" w:rsidRDefault="008673D2" w:rsidP="783BBF32">
      <w:pPr>
        <w:numPr>
          <w:ilvl w:val="0"/>
          <w:numId w:val="15"/>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Πωλήσεις χρυσού: </w:t>
      </w:r>
      <w:r w:rsidRPr="783BBF32">
        <w:rPr>
          <w:rFonts w:ascii="Arial" w:hAnsi="Arial"/>
          <w:sz w:val="20"/>
          <w:szCs w:val="20"/>
        </w:rPr>
        <w:t>156.864 ουγγιές το τέταρτο τρίμηνο του 2024 σε μέση επιτευχθείσα τιμή χρυσού ανά πωληθείσα ουγγιά</w:t>
      </w:r>
      <w:r w:rsidRPr="783BBF32">
        <w:rPr>
          <w:rFonts w:ascii="Arial" w:hAnsi="Arial"/>
          <w:sz w:val="20"/>
          <w:szCs w:val="20"/>
          <w:vertAlign w:val="superscript"/>
        </w:rPr>
        <w:t>(1)</w:t>
      </w:r>
      <w:r w:rsidRPr="783BBF32">
        <w:rPr>
          <w:rFonts w:ascii="Arial" w:hAnsi="Arial"/>
          <w:sz w:val="20"/>
          <w:szCs w:val="20"/>
        </w:rPr>
        <w:t xml:space="preserve"> 2.625 δολ. Το αποτέλεσμα ήταν να πωληθούν 517.926 ουγγιές το 2024 σε μέση επιτευχθείσα τιμή χρυσού ανά πωληθείσα ουγγιά 2.405 δολ., καθώς οι υψηλές τιμές συνεχίστηκαν καθ’ όλη τη διάρκεια του έτους.</w:t>
      </w:r>
    </w:p>
    <w:p w14:paraId="4DFEAE59" w14:textId="77777777" w:rsidR="00BC2819" w:rsidRPr="006753BF" w:rsidRDefault="008673D2" w:rsidP="783BBF32">
      <w:pPr>
        <w:numPr>
          <w:ilvl w:val="0"/>
          <w:numId w:val="16"/>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Κόστος παραγωγής: </w:t>
      </w:r>
      <w:r w:rsidRPr="783BBF32">
        <w:rPr>
          <w:rFonts w:ascii="Arial" w:hAnsi="Arial"/>
          <w:sz w:val="20"/>
          <w:szCs w:val="20"/>
        </w:rPr>
        <w:t>172,1 εκατ. δολ. το τέταρτο τρίμηνο του 2024 και 564,2 εκατ. δολ. το 2024, έναντι 137,6 εκατ. δολ. το τέταρτο τρίμηνο του 2023 και 478,9 εκατ. δολ. το 2023. Οι αυξήσεις οφείλονται κατά κύριο λόγο στους υψηλότερους όγκους παραγωγής και πωλήσεων, στο υψηλότερο κόστος εργασίας και στα αυξημένα δικαιώματα εκμετάλλευσης (λόγω των υψηλότερων πωλήσεων χρυσού και της υψηλότερης μέσης τιμής χρυσού).</w:t>
      </w:r>
    </w:p>
    <w:p w14:paraId="4DFEAE5A" w14:textId="77777777" w:rsidR="00BC2819" w:rsidRPr="006753BF" w:rsidRDefault="008673D2">
      <w:pPr>
        <w:numPr>
          <w:ilvl w:val="0"/>
          <w:numId w:val="17"/>
        </w:numPr>
        <w:spacing w:before="120" w:line="288" w:lineRule="auto"/>
        <w:jc w:val="both"/>
      </w:pPr>
      <w:r w:rsidRPr="783BBF32">
        <w:rPr>
          <w:rFonts w:ascii="Arial" w:hAnsi="Arial"/>
          <w:b/>
          <w:bCs/>
          <w:sz w:val="20"/>
          <w:szCs w:val="20"/>
        </w:rPr>
        <w:t>Σύνολο ταμειακών εξόδων</w:t>
      </w:r>
      <w:r w:rsidRPr="783BBF32">
        <w:rPr>
          <w:rFonts w:ascii="Arial" w:hAnsi="Arial"/>
          <w:sz w:val="20"/>
          <w:szCs w:val="20"/>
          <w:vertAlign w:val="superscript"/>
        </w:rPr>
        <w:t>(</w:t>
      </w:r>
      <w:r w:rsidRPr="783BBF32">
        <w:rPr>
          <w:rStyle w:val="a3"/>
          <w:rFonts w:ascii="Arial" w:eastAsia="Arial" w:hAnsi="Arial" w:cs="Arial"/>
          <w:sz w:val="20"/>
          <w:szCs w:val="20"/>
        </w:rPr>
        <w:footnoteReference w:id="2"/>
      </w:r>
      <w:r w:rsidRPr="783BBF32">
        <w:rPr>
          <w:rFonts w:ascii="Arial" w:hAnsi="Arial"/>
          <w:sz w:val="20"/>
          <w:szCs w:val="20"/>
          <w:vertAlign w:val="superscript"/>
        </w:rPr>
        <w:t>)</w:t>
      </w:r>
      <w:r w:rsidRPr="783BBF32">
        <w:rPr>
          <w:rFonts w:ascii="Arial" w:hAnsi="Arial"/>
          <w:sz w:val="20"/>
          <w:szCs w:val="20"/>
        </w:rPr>
        <w:t>:</w:t>
      </w:r>
      <w:r w:rsidRPr="783BBF32">
        <w:rPr>
          <w:rFonts w:ascii="Arial" w:hAnsi="Arial"/>
          <w:b/>
          <w:bCs/>
          <w:sz w:val="20"/>
          <w:szCs w:val="20"/>
        </w:rPr>
        <w:t xml:space="preserve"> </w:t>
      </w:r>
      <w:r w:rsidRPr="783BBF32">
        <w:rPr>
          <w:rFonts w:ascii="Arial" w:hAnsi="Arial"/>
          <w:sz w:val="20"/>
          <w:szCs w:val="20"/>
        </w:rPr>
        <w:t xml:space="preserve">944 δολ. ανά πωληθείσα ουγγιά το τέταρτο τρίμηνο του 2024 και 940 δολ. ανά πωληθείσα ουγγιά το 2024, στο πλαίσιο του πιο μετριοπαθούς στόχου, καταγράφοντας άνοδο από τα 830 δολ. ανά πωληθείσα ουγγιά το τέταρτο τρίμηνο του 2023 και τα 850 δολ. ανά πωληθείσα ουγγιά το 2023. </w:t>
      </w:r>
      <w:r w:rsidRPr="783BBF32">
        <w:rPr>
          <w:rFonts w:ascii="Arial" w:hAnsi="Arial"/>
          <w:color w:val="000000"/>
          <w:sz w:val="20"/>
          <w:szCs w:val="20"/>
        </w:rPr>
        <w:t>Η αύξηση σε αυτές τις δύο περιόδους οφειλόταν πρωτίστως στα υψηλότερα δικαιώματα εκμετάλλευσης (που ήταν απόρροια των υψηλότερων τιμών χρυσού) και στο υψηλότερο κόστος εργασίας.</w:t>
      </w:r>
    </w:p>
    <w:p w14:paraId="4DFEAE5B" w14:textId="77777777" w:rsidR="00BC2819" w:rsidRPr="006753BF" w:rsidRDefault="008673D2" w:rsidP="783BBF32">
      <w:pPr>
        <w:numPr>
          <w:ilvl w:val="0"/>
          <w:numId w:val="18"/>
        </w:numPr>
        <w:spacing w:before="120" w:line="288" w:lineRule="auto"/>
        <w:jc w:val="both"/>
        <w:rPr>
          <w:rFonts w:ascii="Arial" w:eastAsia="Arial" w:hAnsi="Arial" w:cs="Arial"/>
          <w:b/>
          <w:bCs/>
          <w:sz w:val="20"/>
          <w:szCs w:val="20"/>
        </w:rPr>
      </w:pPr>
      <w:r w:rsidRPr="783BBF32">
        <w:rPr>
          <w:rFonts w:ascii="Arial" w:hAnsi="Arial"/>
          <w:b/>
          <w:bCs/>
          <w:sz w:val="20"/>
          <w:szCs w:val="20"/>
        </w:rPr>
        <w:lastRenderedPageBreak/>
        <w:t>Σύνολο Λειτουργικών Δαπανών &amp; Κεφαλαιουχικού Κόστους για την Υποστήριξη της Τρέχουσας Παραγωγής</w:t>
      </w:r>
      <w:r w:rsidRPr="783BBF32">
        <w:rPr>
          <w:rFonts w:ascii="Arial" w:hAnsi="Arial"/>
          <w:sz w:val="20"/>
          <w:szCs w:val="20"/>
          <w:vertAlign w:val="superscript"/>
        </w:rPr>
        <w:t xml:space="preserve">(1) </w:t>
      </w:r>
      <w:r w:rsidRPr="783BBF32">
        <w:rPr>
          <w:rFonts w:ascii="Arial" w:hAnsi="Arial"/>
          <w:b/>
          <w:bCs/>
          <w:sz w:val="20"/>
          <w:szCs w:val="20"/>
        </w:rPr>
        <w:t>(«AISC»):</w:t>
      </w:r>
      <w:r w:rsidRPr="783BBF32">
        <w:rPr>
          <w:rFonts w:ascii="Arial" w:hAnsi="Arial"/>
          <w:sz w:val="20"/>
          <w:szCs w:val="20"/>
        </w:rPr>
        <w:t xml:space="preserve"> 1.226 δολ. ανά πωληθείσα ουγγιά το τέταρτο τρίμηνο του 2024 και 1.285 δολ. ανά πωληθείσα ουγγιά το 2024, στο πλαίσιο του πιο μετριοπαθούς στόχου που τέθηκε για το έτος, και οριακά υψηλότερα από τα 1.207 δολ. ανά πωληθείσα ουγγιά το τέταρτο τρίμηνο του 2023 και τα 1.220 δολ. ανά πωληθείσα ουγγιά το 2023. </w:t>
      </w:r>
      <w:r w:rsidRPr="783BBF32">
        <w:rPr>
          <w:rFonts w:ascii="Arial" w:hAnsi="Arial"/>
          <w:color w:val="000000" w:themeColor="text1"/>
          <w:sz w:val="20"/>
          <w:szCs w:val="20"/>
        </w:rPr>
        <w:t xml:space="preserve">Οι αυξήσεις σε αυτές τις δύο περιόδους αντικατοπτρίζουν το υψηλότερο σύνολο ταμειακών εξόδων ανά πωληθείσα ουγγιά, όπως παρουσιάζεται παραπάνω, ενώ η σύγκριση μεταξύ των ετών επηρεάστηκε επίσης από τις υψηλότερες κεφαλαιουχικές δαπάνες διατήρησης. </w:t>
      </w:r>
    </w:p>
    <w:p w14:paraId="4DFEAE5C" w14:textId="03B5092E" w:rsidR="00BC2819" w:rsidRPr="006753BF" w:rsidRDefault="008673D2" w:rsidP="783BBF32">
      <w:pPr>
        <w:numPr>
          <w:ilvl w:val="0"/>
          <w:numId w:val="19"/>
        </w:numPr>
        <w:spacing w:before="120" w:line="288" w:lineRule="auto"/>
        <w:jc w:val="both"/>
        <w:rPr>
          <w:rFonts w:ascii="Arial" w:eastAsia="Arial" w:hAnsi="Arial" w:cs="Arial"/>
          <w:b/>
          <w:bCs/>
          <w:sz w:val="20"/>
          <w:szCs w:val="20"/>
        </w:rPr>
      </w:pPr>
      <w:r w:rsidRPr="783BBF32">
        <w:rPr>
          <w:rFonts w:ascii="Arial" w:hAnsi="Arial"/>
          <w:b/>
          <w:bCs/>
          <w:sz w:val="20"/>
          <w:szCs w:val="20"/>
        </w:rPr>
        <w:t>Σύνολο κεφαλαιουχικών δαπανών:</w:t>
      </w:r>
      <w:r w:rsidRPr="783BBF32">
        <w:rPr>
          <w:rFonts w:ascii="Arial" w:hAnsi="Arial"/>
          <w:sz w:val="20"/>
          <w:szCs w:val="20"/>
        </w:rPr>
        <w:t xml:space="preserve"> 17</w:t>
      </w:r>
      <w:r w:rsidR="000E333F" w:rsidRPr="783BBF32">
        <w:rPr>
          <w:rFonts w:ascii="Arial" w:hAnsi="Arial"/>
          <w:sz w:val="20"/>
          <w:szCs w:val="20"/>
        </w:rPr>
        <w:t>4</w:t>
      </w:r>
      <w:r w:rsidRPr="783BBF32">
        <w:rPr>
          <w:rFonts w:ascii="Arial" w:hAnsi="Arial"/>
          <w:sz w:val="20"/>
          <w:szCs w:val="20"/>
        </w:rPr>
        <w:t>,</w:t>
      </w:r>
      <w:r w:rsidR="000E333F" w:rsidRPr="783BBF32">
        <w:rPr>
          <w:rFonts w:ascii="Arial" w:hAnsi="Arial"/>
          <w:sz w:val="20"/>
          <w:szCs w:val="20"/>
        </w:rPr>
        <w:t>5</w:t>
      </w:r>
      <w:r w:rsidRPr="783BBF32">
        <w:rPr>
          <w:rFonts w:ascii="Arial" w:hAnsi="Arial"/>
          <w:sz w:val="20"/>
          <w:szCs w:val="20"/>
        </w:rPr>
        <w:t xml:space="preserve"> εκατ. δολ. το τέταρτο τρίμηνο του 2024 και </w:t>
      </w:r>
      <w:r w:rsidR="000E333F" w:rsidRPr="783BBF32">
        <w:rPr>
          <w:rFonts w:ascii="Arial" w:hAnsi="Arial"/>
          <w:sz w:val="20"/>
          <w:szCs w:val="20"/>
        </w:rPr>
        <w:t>620</w:t>
      </w:r>
      <w:r w:rsidRPr="783BBF32">
        <w:rPr>
          <w:rFonts w:ascii="Arial" w:hAnsi="Arial"/>
          <w:sz w:val="20"/>
          <w:szCs w:val="20"/>
        </w:rPr>
        <w:t>,</w:t>
      </w:r>
      <w:r w:rsidR="008D5874" w:rsidRPr="783BBF32">
        <w:rPr>
          <w:rFonts w:ascii="Arial" w:hAnsi="Arial"/>
          <w:sz w:val="20"/>
          <w:szCs w:val="20"/>
        </w:rPr>
        <w:t>3</w:t>
      </w:r>
      <w:r w:rsidRPr="783BBF32">
        <w:rPr>
          <w:rFonts w:ascii="Arial" w:hAnsi="Arial"/>
          <w:sz w:val="20"/>
          <w:szCs w:val="20"/>
        </w:rPr>
        <w:t xml:space="preserve"> εκατ. δολ. το 2024, συμπεριλαμβανομένων 97,6 εκατ. δολ. και 324,7 εκατ. δολ. ως κεφάλαιο ανάπτυξης που επενδύθηκε στο έργο των Σκουριών, αντίστοιχα. Το κεφάλαιο ανάπτυξης στα ενεργά μεταλλεία ανήλθε σε 146,1 εκατ. δολ. το 2024 και συνδεόταν κυρίως με το Kisladag, συνδεόμενο μεταξύ άλλων με την επεξεργασία αποβλήτων για ενίσχυση της παράτασης ζωής του μεταλλείου, την κατασκευή της δεύτερης φάσης του </w:t>
      </w:r>
      <w:r w:rsidR="00502708" w:rsidRPr="783BBF32">
        <w:rPr>
          <w:rFonts w:ascii="Arial" w:hAnsi="Arial"/>
          <w:sz w:val="20"/>
          <w:szCs w:val="20"/>
        </w:rPr>
        <w:t xml:space="preserve">βόρειου </w:t>
      </w:r>
      <w:r w:rsidRPr="783BBF32">
        <w:rPr>
          <w:rFonts w:ascii="Arial" w:hAnsi="Arial"/>
          <w:sz w:val="20"/>
          <w:szCs w:val="20"/>
        </w:rPr>
        <w:t xml:space="preserve">χώρου έκπλυσης </w:t>
      </w:r>
      <w:r w:rsidR="00832740" w:rsidRPr="783BBF32">
        <w:rPr>
          <w:rFonts w:ascii="Arial" w:hAnsi="Arial"/>
          <w:sz w:val="20"/>
          <w:szCs w:val="20"/>
        </w:rPr>
        <w:t>[</w:t>
      </w:r>
      <w:r w:rsidR="00832740" w:rsidRPr="783BBF32">
        <w:rPr>
          <w:rFonts w:ascii="Arial" w:eastAsia="Arial" w:hAnsi="Arial" w:cs="Arial"/>
          <w:sz w:val="20"/>
          <w:szCs w:val="20"/>
        </w:rPr>
        <w:t>North Heap Leach Pad ("NHLP")]</w:t>
      </w:r>
      <w:r w:rsidRPr="783BBF32">
        <w:rPr>
          <w:rFonts w:ascii="Arial" w:eastAsia="Arial" w:hAnsi="Arial" w:cs="Arial"/>
          <w:sz w:val="20"/>
          <w:szCs w:val="20"/>
        </w:rPr>
        <w:t xml:space="preserve"> </w:t>
      </w:r>
      <w:r w:rsidRPr="783BBF32">
        <w:rPr>
          <w:rFonts w:ascii="Arial" w:hAnsi="Arial"/>
          <w:sz w:val="20"/>
          <w:szCs w:val="20"/>
        </w:rPr>
        <w:t xml:space="preserve">και την κατασκευή των βόρειων εγκαταστάσεων προσρόφησης-εκρόφησης και ανάκτησης </w:t>
      </w:r>
      <w:r w:rsidR="00125AB2" w:rsidRPr="783BBF32">
        <w:rPr>
          <w:rFonts w:ascii="Arial" w:hAnsi="Arial"/>
          <w:sz w:val="20"/>
          <w:szCs w:val="20"/>
        </w:rPr>
        <w:t>[</w:t>
      </w:r>
      <w:r w:rsidR="00125AB2" w:rsidRPr="783BBF32">
        <w:rPr>
          <w:rFonts w:ascii="Arial" w:eastAsia="Arial" w:hAnsi="Arial" w:cs="Arial"/>
          <w:sz w:val="20"/>
          <w:szCs w:val="20"/>
        </w:rPr>
        <w:t>North Adsorption-Desorption-Recovery (</w:t>
      </w:r>
      <w:r w:rsidRPr="783BBF32">
        <w:rPr>
          <w:rFonts w:ascii="Arial" w:eastAsia="Arial" w:hAnsi="Arial" w:cs="Arial"/>
          <w:sz w:val="20"/>
          <w:szCs w:val="20"/>
        </w:rPr>
        <w:t>ADR</w:t>
      </w:r>
      <w:r w:rsidR="00125AB2" w:rsidRPr="783BBF32">
        <w:rPr>
          <w:rFonts w:ascii="Arial" w:eastAsia="Arial" w:hAnsi="Arial" w:cs="Arial"/>
          <w:sz w:val="20"/>
          <w:szCs w:val="20"/>
        </w:rPr>
        <w:t>)]</w:t>
      </w:r>
      <w:r w:rsidRPr="783BBF32">
        <w:rPr>
          <w:rFonts w:ascii="Arial" w:hAnsi="Arial"/>
          <w:sz w:val="20"/>
          <w:szCs w:val="20"/>
        </w:rPr>
        <w:t>. Το κεφάλαιο υποστήριξης στα ενεργά μεταλλεία</w:t>
      </w:r>
      <w:r w:rsidRPr="783BBF32">
        <w:rPr>
          <w:rFonts w:ascii="Arial" w:hAnsi="Arial"/>
          <w:sz w:val="20"/>
          <w:szCs w:val="20"/>
          <w:vertAlign w:val="superscript"/>
        </w:rPr>
        <w:t>1</w:t>
      </w:r>
      <w:r w:rsidRPr="783BBF32">
        <w:rPr>
          <w:rFonts w:ascii="Arial" w:hAnsi="Arial"/>
          <w:sz w:val="20"/>
          <w:szCs w:val="20"/>
        </w:rPr>
        <w:t xml:space="preserve"> ανήλθε συνολικά σε 130,3 εκατ. δολ. το 2024 συμπεριλαμβανομένων 81,9 εκατ. δολ. στο Lamaque που συνδέονταν κυρίως με την υπόγεια ανάπτυξη, την ανακατασκευή εξοπλισμού και την επέκταση της μονάδας αφύγρανσης τελμάτων.</w:t>
      </w:r>
    </w:p>
    <w:p w14:paraId="4DFEAE5D" w14:textId="77777777" w:rsidR="006753BF" w:rsidRPr="000051A2" w:rsidRDefault="006753BF" w:rsidP="006753BF">
      <w:pPr>
        <w:spacing w:before="120" w:line="288" w:lineRule="auto"/>
        <w:jc w:val="both"/>
        <w:rPr>
          <w:rFonts w:ascii="Arial" w:eastAsia="Arial" w:hAnsi="Arial" w:cs="Arial"/>
          <w:b/>
          <w:sz w:val="20"/>
        </w:rPr>
      </w:pPr>
    </w:p>
    <w:p w14:paraId="4DFEAE5E" w14:textId="77777777" w:rsidR="00BC2819" w:rsidRPr="006753BF" w:rsidRDefault="00BC2819">
      <w:pPr>
        <w:pageBreakBefore/>
        <w:spacing w:line="288" w:lineRule="auto"/>
        <w:jc w:val="both"/>
        <w:rPr>
          <w:rFonts w:ascii="Arial" w:eastAsia="Arial" w:hAnsi="Arial" w:cs="Arial"/>
          <w:sz w:val="20"/>
        </w:rPr>
      </w:pPr>
    </w:p>
    <w:p w14:paraId="4DFEAE5F" w14:textId="77777777" w:rsidR="00BC2819" w:rsidRPr="006753BF" w:rsidRDefault="008673D2">
      <w:pPr>
        <w:spacing w:before="120" w:line="288" w:lineRule="auto"/>
        <w:jc w:val="both"/>
        <w:rPr>
          <w:rFonts w:ascii="Arial" w:eastAsia="Arial" w:hAnsi="Arial" w:cs="Arial"/>
          <w:b/>
          <w:sz w:val="22"/>
        </w:rPr>
      </w:pPr>
      <w:r w:rsidRPr="006753BF">
        <w:rPr>
          <w:rFonts w:ascii="Arial" w:hAnsi="Arial"/>
          <w:b/>
          <w:sz w:val="22"/>
        </w:rPr>
        <w:t>Οικονομικά</w:t>
      </w:r>
    </w:p>
    <w:p w14:paraId="4DFEAE60" w14:textId="77777777" w:rsidR="00BC2819" w:rsidRPr="006753BF" w:rsidRDefault="008673D2" w:rsidP="783BBF32">
      <w:pPr>
        <w:numPr>
          <w:ilvl w:val="0"/>
          <w:numId w:val="20"/>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Έσοδα: </w:t>
      </w:r>
      <w:r w:rsidRPr="783BBF32">
        <w:rPr>
          <w:rFonts w:ascii="Arial" w:hAnsi="Arial"/>
          <w:sz w:val="20"/>
          <w:szCs w:val="20"/>
        </w:rPr>
        <w:t xml:space="preserve">435,7 εκατ. δολ. το τέταρτο τρίμηνο του 2024, δηλαδή αύξηση 42% από τα έσοδα των 306,9 εκατ. δολ. το τέταρτο τρίμηνο του 2023 και 1.322,6 εκατ. δολ. το 2024, καταγράφοντας αύξηση 31% από τα έσοδα των 1.008,5 εκατ. δολ. το 2023, λόγω της υψηλότερης μέσης επιτευχθείσας τιμής χρυσού και των υψηλότερων πωληθέντων όγκων. </w:t>
      </w:r>
    </w:p>
    <w:p w14:paraId="4DFEAE61" w14:textId="77777777" w:rsidR="00BC2819" w:rsidRPr="006753BF" w:rsidRDefault="008673D2" w:rsidP="783BBF32">
      <w:pPr>
        <w:numPr>
          <w:ilvl w:val="0"/>
          <w:numId w:val="21"/>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Καθαρές ταμειακές ροές από λειτουργικές συνεχιζόμενες δραστηριότητες: </w:t>
      </w:r>
      <w:r w:rsidRPr="783BBF32">
        <w:rPr>
          <w:rFonts w:ascii="Arial" w:hAnsi="Arial"/>
          <w:sz w:val="20"/>
          <w:szCs w:val="20"/>
        </w:rPr>
        <w:t>257,3 εκατ. δολ. το τέταρτο τρίμηνο του 2024, δηλαδή αύξηση από 159,6 εκατ. δολ. το τέταρτο τρίμηνο του 2023, και 645,7 εκατ. δολ. το 2024, καταγράφοντας αύξηση από τα 382,9 εκατ. δολ. το 2023. Οι αυξήσεις στις δύο περιόδους οφείλονταν στα υψηλότερα έσοδα τα οποία αντισταθμίστηκαν εν μέρει από το υψηλότερο κόστος παραγωγής και τους υψηλότερους καταβληθέντες φόρους.</w:t>
      </w:r>
    </w:p>
    <w:p w14:paraId="4DFEAE62" w14:textId="77777777" w:rsidR="00BC2819" w:rsidRPr="006753BF" w:rsidRDefault="008673D2">
      <w:pPr>
        <w:numPr>
          <w:ilvl w:val="0"/>
          <w:numId w:val="22"/>
        </w:numPr>
        <w:spacing w:before="120" w:line="288" w:lineRule="auto"/>
        <w:jc w:val="both"/>
      </w:pPr>
      <w:r w:rsidRPr="783BBF32">
        <w:rPr>
          <w:rFonts w:ascii="Arial" w:hAnsi="Arial"/>
          <w:b/>
          <w:bCs/>
          <w:sz w:val="20"/>
          <w:szCs w:val="20"/>
        </w:rPr>
        <w:t>Ταμειακές ροές από λειτουργικές δραστηριότητες πριν από τις μεταβολές κεφαλαίου κίνησης</w:t>
      </w:r>
      <w:r w:rsidRPr="783BBF32">
        <w:rPr>
          <w:rFonts w:ascii="Arial" w:hAnsi="Arial"/>
          <w:sz w:val="20"/>
          <w:szCs w:val="20"/>
          <w:vertAlign w:val="superscript"/>
        </w:rPr>
        <w:t>(</w:t>
      </w:r>
      <w:r w:rsidRPr="783BBF32">
        <w:rPr>
          <w:rStyle w:val="a3"/>
          <w:rFonts w:ascii="Arial" w:eastAsia="Arial" w:hAnsi="Arial" w:cs="Arial"/>
          <w:sz w:val="20"/>
          <w:szCs w:val="20"/>
        </w:rPr>
        <w:footnoteReference w:id="3"/>
      </w:r>
      <w:r w:rsidRPr="783BBF32">
        <w:rPr>
          <w:rFonts w:ascii="Arial" w:hAnsi="Arial"/>
          <w:sz w:val="20"/>
          <w:szCs w:val="20"/>
          <w:vertAlign w:val="superscript"/>
        </w:rPr>
        <w:t>)</w:t>
      </w:r>
      <w:r w:rsidRPr="783BBF32">
        <w:rPr>
          <w:rFonts w:ascii="Arial" w:hAnsi="Arial"/>
          <w:b/>
          <w:bCs/>
          <w:sz w:val="20"/>
          <w:szCs w:val="20"/>
        </w:rPr>
        <w:t>:</w:t>
      </w:r>
      <w:r w:rsidRPr="783BBF32">
        <w:rPr>
          <w:rFonts w:ascii="Arial" w:hAnsi="Arial"/>
          <w:sz w:val="20"/>
          <w:szCs w:val="20"/>
        </w:rPr>
        <w:t xml:space="preserve"> 228,5 εκατ. δολ. το τέταρτο τρίμηνο του 2024, δηλαδή αύξηση από 138,0 εκατ. δολ. το τέταρτο τρίμηνο του 2023 και 635,5 εκατ. δολ. το 2024, καταγράφοντας αύξηση από τα 411,2 εκατ. δολ. το 2023. Οι αυξήσεις στις δύο περιόδους οφείλονταν κατά κύριο λόγο στα υψηλότερα καθαρά διαθέσιμα από λειτουργικές ή συνεχιζόμενες δραστηριότητες. </w:t>
      </w:r>
    </w:p>
    <w:p w14:paraId="4DFEAE63" w14:textId="77777777" w:rsidR="00BC2819" w:rsidRPr="006753BF" w:rsidRDefault="008673D2" w:rsidP="783BBF32">
      <w:pPr>
        <w:numPr>
          <w:ilvl w:val="0"/>
          <w:numId w:val="23"/>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Ταμειακά διαθέσιμα και ισοδύναμα: </w:t>
      </w:r>
      <w:r w:rsidRPr="783BBF32">
        <w:rPr>
          <w:rFonts w:ascii="Arial" w:hAnsi="Arial"/>
          <w:sz w:val="20"/>
          <w:szCs w:val="20"/>
        </w:rPr>
        <w:t>856,8 εκατ. δολ. στις 31 Δεκεμβρίου 2024, δηλαδή αύξηση από τα 540,5 εκατ. δολ. στις 31 Δεκεμβρίου 2023.</w:t>
      </w:r>
    </w:p>
    <w:p w14:paraId="4DFEAE64" w14:textId="77777777" w:rsidR="00BC2819" w:rsidRPr="006753BF" w:rsidRDefault="008673D2" w:rsidP="783BBF32">
      <w:pPr>
        <w:numPr>
          <w:ilvl w:val="0"/>
          <w:numId w:val="24"/>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Καθαρά κέρδη αποδοτέα στους μετόχους από συνεχιζόμενες δραστηριότητες: </w:t>
      </w:r>
      <w:r w:rsidRPr="783BBF32">
        <w:rPr>
          <w:rFonts w:ascii="Arial" w:hAnsi="Arial"/>
          <w:sz w:val="20"/>
          <w:szCs w:val="20"/>
        </w:rPr>
        <w:t>108,2 εκατ. δολ. το τέταρτο τρίμηνο του 2024, δηλαδή αύξηση από 91,8 εκατ. δολ. το τέταρτο τρίμηνο του 2023 και 300,9 εκατ. δολ. το 2024, καταγράφοντας αύξηση από καθαρά κέρδη 106,2 εκατ. δολ. το 2023. Οι αυξήσεις στις δύο περιόδους οφείλονταν πρωτίστως στα υψηλότερα έσοδα που προήλθαν από τις υψηλότερες τιμές χρυσού και τους υψηλότερους όγκους πωλήσεων αλλά αντισταθμίστηκαν εν μέρει από το υψηλότερο κόστος παραγωγής και τους φόρους εισοδήματος.</w:t>
      </w:r>
      <w:r w:rsidRPr="783BBF32">
        <w:rPr>
          <w:rFonts w:ascii="Arial" w:hAnsi="Arial"/>
          <w:color w:val="000000" w:themeColor="text1"/>
          <w:sz w:val="20"/>
          <w:szCs w:val="20"/>
        </w:rPr>
        <w:t xml:space="preserve"> </w:t>
      </w:r>
    </w:p>
    <w:p w14:paraId="4DFEAE65" w14:textId="77777777" w:rsidR="00BC2819" w:rsidRPr="006753BF" w:rsidRDefault="008673D2" w:rsidP="783BBF32">
      <w:pPr>
        <w:numPr>
          <w:ilvl w:val="0"/>
          <w:numId w:val="25"/>
        </w:numPr>
        <w:spacing w:before="120" w:line="288" w:lineRule="auto"/>
        <w:jc w:val="both"/>
        <w:rPr>
          <w:rFonts w:ascii="Arial" w:eastAsia="Arial" w:hAnsi="Arial" w:cs="Arial"/>
          <w:b/>
          <w:bCs/>
          <w:i/>
          <w:iCs/>
          <w:sz w:val="20"/>
          <w:szCs w:val="20"/>
        </w:rPr>
      </w:pPr>
      <w:r w:rsidRPr="783BBF32">
        <w:rPr>
          <w:rFonts w:ascii="Arial" w:hAnsi="Arial"/>
          <w:b/>
          <w:bCs/>
          <w:sz w:val="20"/>
          <w:szCs w:val="20"/>
        </w:rPr>
        <w:t>Αναπροσαρμοσμένα καθαρά κέρδη προ φόρων, επενδυτικών και χρηματοδοτικών αποτελεσμάτων και συνολικών αποσβέσεων («Αναπροσαρμοσμένο EBITDA»)</w:t>
      </w:r>
      <w:r w:rsidRPr="783BBF32">
        <w:rPr>
          <w:rFonts w:ascii="Arial" w:hAnsi="Arial"/>
          <w:sz w:val="20"/>
          <w:szCs w:val="20"/>
          <w:vertAlign w:val="superscript"/>
        </w:rPr>
        <w:t>(2)</w:t>
      </w:r>
      <w:r w:rsidRPr="783BBF32">
        <w:rPr>
          <w:rFonts w:ascii="Arial" w:hAnsi="Arial"/>
          <w:b/>
          <w:bCs/>
          <w:sz w:val="20"/>
          <w:szCs w:val="20"/>
        </w:rPr>
        <w:t xml:space="preserve">: </w:t>
      </w:r>
      <w:r w:rsidRPr="783BBF32">
        <w:rPr>
          <w:rFonts w:ascii="Arial" w:hAnsi="Arial"/>
          <w:sz w:val="20"/>
          <w:szCs w:val="20"/>
        </w:rPr>
        <w:t>246,7 εκατ. δολ. το τέταρτο τρίμηνο του 2024,</w:t>
      </w:r>
      <w:r w:rsidR="006753BF" w:rsidRPr="783BBF32">
        <w:rPr>
          <w:rFonts w:ascii="Arial" w:hAnsi="Arial"/>
          <w:sz w:val="20"/>
          <w:szCs w:val="20"/>
        </w:rPr>
        <w:t xml:space="preserve"> </w:t>
      </w:r>
      <w:r w:rsidRPr="783BBF32">
        <w:rPr>
          <w:rFonts w:ascii="Arial" w:hAnsi="Arial"/>
          <w:sz w:val="20"/>
          <w:szCs w:val="20"/>
        </w:rPr>
        <w:t xml:space="preserve">δηλαδή αύξηση από 147,2 εκατ. δολ. το τέταρτο τρίμηνο του 2023, και 691,6 εκατ. δολ. το 2024, καταγράφοντας αύξηση από τα 463,3 εκατ. δολ. το 2023. Αυτές οι αυξήσεις προήλθαν πρωτίστως από τα υψηλότερα καθαρά κέρδη και στις δύο περιόδους. Το υψηλότερο αναπροσαρμοσμένο EBITDA μεταξύ των τριμήνων αντισταθμίστηκε εν μέρει από τη διαγραφή μη πραγματοποιηθέντων κερδών από παράγωγα μέσα της τάξης των 10,2 εκατ. δολ. το τέταρτο τρίμηνο του 2024 ενώ μεταξύ ετών το υψηλότερο αναπροσαρμοσμένο EBITDA αυξήθηκε με τη διαγραφή μη πραγματοποιηθεισών ζημιών 51,8 εκατ. δολ. το 2024. </w:t>
      </w:r>
    </w:p>
    <w:p w14:paraId="4DFEAE66" w14:textId="77777777" w:rsidR="00BC2819" w:rsidRPr="006753BF" w:rsidRDefault="008673D2" w:rsidP="783BBF32">
      <w:pPr>
        <w:numPr>
          <w:ilvl w:val="0"/>
          <w:numId w:val="26"/>
        </w:numPr>
        <w:spacing w:before="120" w:line="288" w:lineRule="auto"/>
        <w:jc w:val="both"/>
        <w:rPr>
          <w:rFonts w:ascii="Arial" w:eastAsia="Arial" w:hAnsi="Arial" w:cs="Arial"/>
          <w:b/>
          <w:bCs/>
          <w:i/>
          <w:iCs/>
          <w:sz w:val="20"/>
          <w:szCs w:val="20"/>
        </w:rPr>
      </w:pPr>
      <w:r w:rsidRPr="783BBF32">
        <w:rPr>
          <w:rFonts w:ascii="Arial" w:hAnsi="Arial"/>
          <w:b/>
          <w:bCs/>
          <w:sz w:val="20"/>
          <w:szCs w:val="20"/>
        </w:rPr>
        <w:t>Αναπροσαρμοσμένα καθαρά κέρδη από συνεχιζόμενες δραστηριότητες</w:t>
      </w:r>
      <w:r w:rsidRPr="783BBF32">
        <w:rPr>
          <w:rFonts w:ascii="Arial" w:hAnsi="Arial"/>
          <w:sz w:val="20"/>
          <w:szCs w:val="20"/>
          <w:vertAlign w:val="superscript"/>
        </w:rPr>
        <w:t>(2)</w:t>
      </w:r>
      <w:r w:rsidRPr="783BBF32">
        <w:rPr>
          <w:rFonts w:ascii="Arial" w:hAnsi="Arial"/>
          <w:b/>
          <w:bCs/>
          <w:sz w:val="20"/>
          <w:szCs w:val="20"/>
        </w:rPr>
        <w:t>:</w:t>
      </w:r>
      <w:r w:rsidRPr="783BBF32">
        <w:rPr>
          <w:rFonts w:ascii="Arial" w:hAnsi="Arial"/>
          <w:sz w:val="20"/>
          <w:szCs w:val="20"/>
        </w:rPr>
        <w:t xml:space="preserve"> 127,8 εκατ. δολ. ή 0,62 δολ. ανά μετοχή το τέταρτο τρίμηνο του 2024, δηλαδή αύξηση από 49,3 εκατ. δολ. ή 0,24 δολ. ανά μετοχή το τέταρτο τρίμηνο του 2023, και 320,7 εκατ. δολ. ή 1,57 δολ. ανά μετοχή το 2024, καταγράφοντας αύξηση από 110,7 εκατ. δολ. ή 0,57 δολ. ανά μετοχή το 2023.</w:t>
      </w:r>
      <w:r w:rsidRPr="783BBF32">
        <w:rPr>
          <w:rFonts w:ascii="Arial" w:hAnsi="Arial"/>
          <w:color w:val="000000" w:themeColor="text1"/>
          <w:sz w:val="20"/>
          <w:szCs w:val="20"/>
        </w:rPr>
        <w:t xml:space="preserve"> Όσον αφορά τα αναπροσαρμοσμένα καθαρά κέρδη του 2024, διαγράφονται συναλλαγματικές ζημίες</w:t>
      </w:r>
      <w:r w:rsidRPr="783BBF32">
        <w:rPr>
          <w:rFonts w:ascii="Arial" w:hAnsi="Arial"/>
          <w:sz w:val="20"/>
          <w:szCs w:val="20"/>
        </w:rPr>
        <w:t xml:space="preserve"> </w:t>
      </w:r>
      <w:r w:rsidRPr="783BBF32">
        <w:rPr>
          <w:rFonts w:ascii="Arial" w:hAnsi="Arial"/>
          <w:color w:val="000000" w:themeColor="text1"/>
          <w:sz w:val="20"/>
          <w:szCs w:val="20"/>
        </w:rPr>
        <w:t>14,6 εκατ. δολ. λόγω της μετατροπής των αναβαλλόμενων φορολογικών υπολοίπων, καθαρά από τα κέρδη από τους αναβαλλόμενους φόρους εισοδήματος λόγω της πληθωριστικής φορολογικής βάσης της Τουρκίας</w:t>
      </w:r>
      <w:r w:rsidRPr="783BBF32">
        <w:rPr>
          <w:rFonts w:ascii="Arial" w:hAnsi="Arial"/>
          <w:sz w:val="20"/>
          <w:szCs w:val="20"/>
        </w:rPr>
        <w:t xml:space="preserve">, μη πραγματοποιηθείσα ζημία 51,8 εκατ. δολ. </w:t>
      </w:r>
      <w:r w:rsidRPr="783BBF32">
        <w:rPr>
          <w:rFonts w:ascii="Arial" w:hAnsi="Arial"/>
          <w:color w:val="000000" w:themeColor="text1"/>
          <w:sz w:val="20"/>
          <w:szCs w:val="20"/>
        </w:rPr>
        <w:t>από παράγωγα μέσα και κέρδη μετά τους φόρους 50,1 εκατ. δολ.</w:t>
      </w:r>
      <w:r w:rsidRPr="783BBF32">
        <w:rPr>
          <w:rFonts w:ascii="Arial" w:hAnsi="Arial"/>
          <w:sz w:val="20"/>
          <w:szCs w:val="20"/>
        </w:rPr>
        <w:t xml:space="preserve"> που συνδέονται</w:t>
      </w:r>
      <w:r w:rsidRPr="783BBF32">
        <w:rPr>
          <w:rFonts w:ascii="Arial" w:hAnsi="Arial"/>
          <w:color w:val="000000" w:themeColor="text1"/>
          <w:sz w:val="20"/>
          <w:szCs w:val="20"/>
        </w:rPr>
        <w:t xml:space="preserve"> με το αναβαλλόμενο τίμημα </w:t>
      </w:r>
      <w:r w:rsidRPr="783BBF32">
        <w:rPr>
          <w:rFonts w:ascii="Arial" w:hAnsi="Arial"/>
          <w:color w:val="000000" w:themeColor="text1"/>
          <w:sz w:val="20"/>
          <w:szCs w:val="20"/>
        </w:rPr>
        <w:lastRenderedPageBreak/>
        <w:t>από την πώληση του μεταλλείου</w:t>
      </w:r>
      <w:r w:rsidRPr="783BBF32">
        <w:rPr>
          <w:rFonts w:ascii="Arial" w:hAnsi="Arial"/>
          <w:sz w:val="20"/>
          <w:szCs w:val="20"/>
        </w:rPr>
        <w:t xml:space="preserve"> Tocantinzinho στην G Mining Ventures το 2021, μεταξύ άλλων. Όσον αφορά τα αναπροσαρμοσμένα καθαρά κέρδη το τέταρτο τρίμηνο του 2024, διαγράφονται συναλλαγματικές ζημίες 26,5 εκατ. δολ. λόγω της μετατροπής των αναβαλλόμενων φορολογικών υπολοίπων, ζημία 5,1 εκατ. δολ. από τη μη ταμειακή αναπροσαρμογή του παραγώγου που συνδέεται με δικαιώματα προαίρεσης εξαγοράς του χρέους και μη πραγματοποιηθέντα κέρδη 10,2 εκατ. δολ. από παράγωγα μέσα.</w:t>
      </w:r>
    </w:p>
    <w:p w14:paraId="4DFEAE67" w14:textId="77777777" w:rsidR="00BC2819" w:rsidRPr="006753BF" w:rsidRDefault="008673D2" w:rsidP="783BBF32">
      <w:pPr>
        <w:numPr>
          <w:ilvl w:val="0"/>
          <w:numId w:val="27"/>
        </w:numPr>
        <w:spacing w:before="120" w:line="288" w:lineRule="auto"/>
        <w:jc w:val="both"/>
        <w:rPr>
          <w:rFonts w:ascii="Arial" w:eastAsia="Arial" w:hAnsi="Arial" w:cs="Arial"/>
          <w:b/>
          <w:bCs/>
          <w:i/>
          <w:iCs/>
          <w:color w:val="000000"/>
          <w:sz w:val="20"/>
          <w:szCs w:val="20"/>
          <w:shd w:val="clear" w:color="auto" w:fill="FFFFFF"/>
        </w:rPr>
      </w:pPr>
      <w:r w:rsidRPr="783BBF32">
        <w:rPr>
          <w:rFonts w:ascii="Arial" w:hAnsi="Arial"/>
          <w:b/>
          <w:bCs/>
          <w:sz w:val="20"/>
          <w:szCs w:val="20"/>
        </w:rPr>
        <w:t>Ελεύθερες ταμειακές ροές</w:t>
      </w:r>
      <w:r w:rsidRPr="783BBF32">
        <w:rPr>
          <w:rFonts w:ascii="Arial" w:hAnsi="Arial"/>
          <w:sz w:val="20"/>
          <w:szCs w:val="20"/>
          <w:vertAlign w:val="superscript"/>
        </w:rPr>
        <w:t>(2)</w:t>
      </w:r>
      <w:r w:rsidRPr="783BBF32">
        <w:rPr>
          <w:rFonts w:ascii="Arial" w:hAnsi="Arial"/>
          <w:b/>
          <w:bCs/>
          <w:sz w:val="20"/>
          <w:szCs w:val="20"/>
        </w:rPr>
        <w:t>:</w:t>
      </w:r>
      <w:r w:rsidRPr="783BBF32">
        <w:rPr>
          <w:rFonts w:ascii="Arial" w:hAnsi="Arial"/>
          <w:sz w:val="20"/>
          <w:szCs w:val="20"/>
          <w:vertAlign w:val="superscript"/>
        </w:rPr>
        <w:t xml:space="preserve"> </w:t>
      </w:r>
      <w:r w:rsidRPr="783BBF32">
        <w:rPr>
          <w:rFonts w:ascii="Arial" w:hAnsi="Arial"/>
          <w:sz w:val="20"/>
          <w:szCs w:val="20"/>
        </w:rPr>
        <w:t>74,6 εκατ. δολ. το τέταρτο τρίμηνο του 2024 και 6,8 εκατ. δολ. το 2024, λόγω σημαντικών επενδύσεων στο κεφάλαιο ανάπτυξης. Οι ελεύθερες ταμειακές ροές εξαιρουμένων των κεφαλαιουχικών δαπανών στις Σκουριές</w:t>
      </w:r>
      <w:r w:rsidRPr="783BBF32">
        <w:rPr>
          <w:rFonts w:ascii="Arial" w:hAnsi="Arial"/>
          <w:sz w:val="20"/>
          <w:szCs w:val="20"/>
          <w:vertAlign w:val="superscript"/>
        </w:rPr>
        <w:t>(2)</w:t>
      </w:r>
      <w:r w:rsidR="006753BF" w:rsidRPr="783BBF32">
        <w:rPr>
          <w:rFonts w:ascii="Arial" w:hAnsi="Arial"/>
          <w:sz w:val="20"/>
          <w:szCs w:val="20"/>
          <w:vertAlign w:val="superscript"/>
        </w:rPr>
        <w:t xml:space="preserve"> </w:t>
      </w:r>
      <w:r w:rsidRPr="783BBF32">
        <w:rPr>
          <w:rFonts w:ascii="Arial" w:hAnsi="Arial"/>
          <w:sz w:val="20"/>
          <w:szCs w:val="20"/>
        </w:rPr>
        <w:t>ήταν 176,2 εκατ. δολ. το τέταρτο τρίμηνο του 2024 και 342,0 εκατ. δολ. το 2024, πρωτίστως λόγω των υψηλότερων εσόδων από τις πωλήσεις.</w:t>
      </w:r>
    </w:p>
    <w:p w14:paraId="4DFEAE68" w14:textId="5E7DC0E7" w:rsidR="006753BF" w:rsidRPr="006753BF" w:rsidRDefault="008673D2" w:rsidP="783BBF32">
      <w:pPr>
        <w:numPr>
          <w:ilvl w:val="0"/>
          <w:numId w:val="28"/>
        </w:numPr>
        <w:spacing w:before="120" w:line="288" w:lineRule="auto"/>
        <w:jc w:val="both"/>
        <w:rPr>
          <w:rFonts w:ascii="Arial" w:eastAsia="Arial" w:hAnsi="Arial" w:cs="Arial"/>
          <w:b/>
          <w:bCs/>
          <w:color w:val="000000"/>
          <w:sz w:val="20"/>
          <w:szCs w:val="20"/>
          <w:shd w:val="clear" w:color="auto" w:fill="FFFFFF"/>
        </w:rPr>
      </w:pPr>
      <w:r w:rsidRPr="783BBF32">
        <w:rPr>
          <w:rFonts w:ascii="Arial" w:hAnsi="Arial"/>
          <w:b/>
          <w:bCs/>
          <w:color w:val="000000"/>
          <w:sz w:val="20"/>
          <w:szCs w:val="20"/>
          <w:shd w:val="clear" w:color="auto" w:fill="FFFFFF"/>
        </w:rPr>
        <w:t xml:space="preserve">Χρηματοδότηση Έργου: </w:t>
      </w:r>
      <w:r w:rsidRPr="783BBF32">
        <w:rPr>
          <w:rFonts w:ascii="Arial" w:hAnsi="Arial"/>
          <w:sz w:val="20"/>
          <w:szCs w:val="20"/>
        </w:rPr>
        <w:t xml:space="preserve">Οι εκταμιεύσεις από τη Χρηματοδότηση Έργου των Σκουριών </w:t>
      </w:r>
      <w:r w:rsidR="00867E96" w:rsidRPr="783BBF32">
        <w:rPr>
          <w:rFonts w:ascii="Arial" w:hAnsi="Arial"/>
          <w:sz w:val="20"/>
          <w:szCs w:val="20"/>
        </w:rPr>
        <w:t xml:space="preserve">το 2024 </w:t>
      </w:r>
      <w:r w:rsidR="00312739" w:rsidRPr="783BBF32">
        <w:rPr>
          <w:rFonts w:ascii="Arial" w:hAnsi="Arial"/>
          <w:sz w:val="20"/>
          <w:szCs w:val="20"/>
        </w:rPr>
        <w:t>ήταν 288,3 εκατ. ευρώ</w:t>
      </w:r>
      <w:r w:rsidR="00867E96" w:rsidRPr="783BBF32">
        <w:rPr>
          <w:rFonts w:ascii="Arial" w:hAnsi="Arial"/>
          <w:sz w:val="20"/>
          <w:szCs w:val="20"/>
        </w:rPr>
        <w:t xml:space="preserve">, </w:t>
      </w:r>
      <w:r w:rsidR="00F44D94" w:rsidRPr="783BBF32">
        <w:rPr>
          <w:rFonts w:ascii="Arial" w:hAnsi="Arial"/>
          <w:sz w:val="20"/>
          <w:szCs w:val="20"/>
        </w:rPr>
        <w:t xml:space="preserve">ενώ σωρευτικά </w:t>
      </w:r>
      <w:r w:rsidRPr="783BBF32">
        <w:rPr>
          <w:rFonts w:ascii="Arial" w:hAnsi="Arial"/>
          <w:sz w:val="20"/>
          <w:szCs w:val="20"/>
        </w:rPr>
        <w:t xml:space="preserve">στις 31 Δεκεμβρίου 2024 ανέρχονταν σε </w:t>
      </w:r>
      <w:r w:rsidRPr="783BBF32">
        <w:rPr>
          <w:rFonts w:ascii="Arial" w:hAnsi="Arial"/>
          <w:sz w:val="20"/>
          <w:szCs w:val="20"/>
          <w:shd w:val="clear" w:color="auto" w:fill="FFFFFF"/>
        </w:rPr>
        <w:t>441,6 εκατ. δολ.</w:t>
      </w:r>
    </w:p>
    <w:p w14:paraId="4DFEAE69" w14:textId="77777777" w:rsidR="00BC2819" w:rsidRPr="006753BF" w:rsidRDefault="00BC2819" w:rsidP="006753BF">
      <w:pPr>
        <w:spacing w:before="120" w:line="288" w:lineRule="auto"/>
        <w:ind w:left="360"/>
        <w:jc w:val="both"/>
        <w:rPr>
          <w:rFonts w:ascii="Arial" w:eastAsia="Arial" w:hAnsi="Arial" w:cs="Arial"/>
          <w:b/>
          <w:color w:val="000000"/>
          <w:sz w:val="20"/>
          <w:shd w:val="clear" w:color="auto" w:fill="FFFFFF"/>
        </w:rPr>
      </w:pPr>
    </w:p>
    <w:p w14:paraId="4DFEAE6A" w14:textId="77777777" w:rsidR="00BC2819" w:rsidRPr="006753BF" w:rsidRDefault="008673D2" w:rsidP="783BBF32">
      <w:pPr>
        <w:spacing w:before="120" w:line="288" w:lineRule="auto"/>
        <w:jc w:val="both"/>
        <w:rPr>
          <w:rFonts w:ascii="Aptos" w:eastAsia="Aptos" w:hAnsi="Aptos" w:cs="Aptos"/>
          <w:color w:val="000000"/>
          <w:sz w:val="22"/>
          <w:szCs w:val="22"/>
          <w:shd w:val="clear" w:color="auto" w:fill="FFFF00"/>
        </w:rPr>
      </w:pPr>
      <w:r w:rsidRPr="783BBF32">
        <w:rPr>
          <w:rFonts w:ascii="Arial" w:hAnsi="Arial"/>
          <w:sz w:val="20"/>
          <w:szCs w:val="20"/>
        </w:rPr>
        <w:t>«Χάρη στο δυναμικό κλείσιμο του έτους, όπως προβλεπόταν, καταγράψαμε εύρωστες επιχειρησιακές και οικονομικές επιδόσεις το 2024», δήλωσε ο George Burns, Πρόεδρος και Διευθύνων Σύμβουλος. «Η παραγωγή χρυσού αυξήθηκε κατά 7% στις 520.293 ουγγιές χρυσού πάνω από το μέσο του πιο μετριοπαθούς εύρους παραγωγής που είχαμε θέσει για όλο το έτος.</w:t>
      </w:r>
      <w:r w:rsidR="006753BF" w:rsidRPr="783BBF32">
        <w:rPr>
          <w:rFonts w:ascii="Arial" w:hAnsi="Arial"/>
          <w:sz w:val="20"/>
          <w:szCs w:val="20"/>
        </w:rPr>
        <w:t xml:space="preserve"> </w:t>
      </w:r>
      <w:r w:rsidRPr="783BBF32">
        <w:rPr>
          <w:rFonts w:ascii="Arial" w:hAnsi="Arial"/>
          <w:sz w:val="20"/>
          <w:szCs w:val="20"/>
        </w:rPr>
        <w:t>Οι δαπάνες ήταν κι αυτές εναρμονισμένες με το πιο μετριοπαθές εύρος, αντικατοπτρίζοντας τις εύρωστες επιδόσεις των δραστηριοτήτων μας ανά τον κόσμο. Χάρη στις δυναμικές επιχειρησιακές επιδόσεις σε συνδυασμό με την ισχυρή τιμή χρυσού, επιτεύχθηκαν ορισμένα οικονομικά ορόσημα το 2024, όπως αύξηση 31% των εσόδων στα 1.322,6 εκατ. δολ. και αυξημένες ταμειακές ροές από λειτουργικές δραστηριότητες στα 645,7 εκατ. δολ., σημειώνοντας αύξηση 69% σε σύγκριση με το 2023. Επίσης, πετύχαμε ελεύθερες ταμειακές ροές 342,0 εκατ. δολ., εξαιρουμένου του κεφαλαίου που επενδύεται στις Σκουριές».</w:t>
      </w:r>
    </w:p>
    <w:p w14:paraId="20B2AD44" w14:textId="77777777" w:rsidR="00BC2819" w:rsidRDefault="00BC2819">
      <w:pPr>
        <w:spacing w:line="257" w:lineRule="auto"/>
        <w:jc w:val="both"/>
        <w:rPr>
          <w:rFonts w:ascii="Arial" w:hAnsi="Arial"/>
          <w:sz w:val="20"/>
        </w:rPr>
      </w:pPr>
    </w:p>
    <w:p w14:paraId="4DFEAE6D" w14:textId="5A9BB86A" w:rsidR="00BC2819" w:rsidRPr="006753BF" w:rsidRDefault="008673D2" w:rsidP="783BBF32">
      <w:pPr>
        <w:spacing w:line="257" w:lineRule="auto"/>
        <w:jc w:val="both"/>
        <w:rPr>
          <w:rFonts w:ascii="Aptos" w:eastAsia="Aptos" w:hAnsi="Aptos" w:cs="Aptos"/>
          <w:sz w:val="22"/>
          <w:szCs w:val="22"/>
        </w:rPr>
      </w:pPr>
      <w:r w:rsidRPr="783BBF32">
        <w:rPr>
          <w:rFonts w:ascii="Arial" w:hAnsi="Arial"/>
          <w:sz w:val="20"/>
          <w:szCs w:val="20"/>
        </w:rPr>
        <w:t xml:space="preserve">«Το 2024, συνεχίσαμε να επικεντρωνόμαστε στην πλήρη αξιοποίηση των δυνατοτήτων των ενεργών μεταλλείων μας μέσω της συνεχούς βελτίωσης. Στα κυριότερα σημεία περιλαμβάνεται η παραγωγή χρυσού σε επίπεδα ρεκόρ στο συγκρότημα Lamaque με 196.538 ουγγιές και η δήλωση εναρκτήριου ορυκτού αποθέματος στο Ormaque. Το Efemcukuru διατήρησε συνεπείς επιδόσεις, διανύοντας το 10ο συναπτό έτος εκπλήρωσης των στόχων παράλληλα με την αύξηση των ορυκτών αποθεμάτων κατά 23% ώστε να παραταθεί η διάρκεια ζωής του μεταλλείου. Το ισχυρό τέταρτο τρίμηνο στο Kisladag ήταν απόρροια της υλοποίησης ενεργειών βελτιστοποίησης. Στην Ολυμπιάδα, οι επιτυχημένες διαπραγματεύσεις με </w:t>
      </w:r>
      <w:r w:rsidR="00AC6413" w:rsidRPr="783BBF32">
        <w:rPr>
          <w:rFonts w:ascii="Arial" w:hAnsi="Arial"/>
          <w:sz w:val="20"/>
          <w:szCs w:val="20"/>
        </w:rPr>
        <w:t>τα σωματεία εργαζομένων</w:t>
      </w:r>
      <w:r w:rsidRPr="783BBF32">
        <w:rPr>
          <w:rFonts w:ascii="Arial" w:hAnsi="Arial"/>
          <w:sz w:val="20"/>
          <w:szCs w:val="20"/>
        </w:rPr>
        <w:t xml:space="preserve"> σε συνδυασμό με τις βελτιώσεις της παραγωγικότητας στηρίζουν την επέκταση της μονάδας από 500 χιλιάδες τόνους/έτος σε 650 χιλιάδες τόνους/έτος, η οποία αναμένεται να δώσει ώθηση στη μακροπρόθεσμη κερδοφορία. </w:t>
      </w:r>
    </w:p>
    <w:p w14:paraId="4DFEAE6E" w14:textId="77777777" w:rsidR="00BC2819" w:rsidRPr="006753BF" w:rsidRDefault="00BC2819">
      <w:pPr>
        <w:spacing w:line="257" w:lineRule="auto"/>
        <w:jc w:val="both"/>
        <w:rPr>
          <w:rFonts w:ascii="Arial" w:eastAsia="Arial" w:hAnsi="Arial" w:cs="Arial"/>
          <w:sz w:val="20"/>
        </w:rPr>
      </w:pPr>
    </w:p>
    <w:p w14:paraId="4DFEAE6F" w14:textId="4B601B38" w:rsidR="00BC2819" w:rsidRPr="006753BF" w:rsidRDefault="008673D2">
      <w:pPr>
        <w:spacing w:line="257" w:lineRule="auto"/>
        <w:jc w:val="both"/>
        <w:rPr>
          <w:rFonts w:ascii="Arial" w:eastAsia="Arial" w:hAnsi="Arial" w:cs="Arial"/>
          <w:sz w:val="20"/>
        </w:rPr>
      </w:pPr>
      <w:r w:rsidRPr="006753BF">
        <w:rPr>
          <w:rFonts w:ascii="Arial" w:hAnsi="Arial"/>
          <w:sz w:val="20"/>
        </w:rPr>
        <w:t>«Στις Σκουριές, συνεχίσαμε να εξελίσσουμε το έργο καθ’ όλη τη διάρκεια του έτους. Ωστόσο, όπως ανακοινώσαμε στις 5 Φεβρουαρίου 2025, ο ρυθμός αύξησης του προσωπικού ήταν βραδύτερος από το αναμενόμενο λόγω της στενότητας στην αγορά εργασίας του κατασκευαστικού τομέα στην Ελλάδα. Το αποτέλεσμα ήταν να αναθεωρήσουμε το χρονοδιάγραμμα και την εκτίμηση του κόστους κεφαλαίου για το έργο των Σκουριών. Η πρώτη παραγωγή αναμένεται το πρώτο τρίμηνο του 2026</w:t>
      </w:r>
      <w:r w:rsidR="00F56C9A">
        <w:rPr>
          <w:rFonts w:ascii="Arial" w:hAnsi="Arial"/>
          <w:sz w:val="20"/>
        </w:rPr>
        <w:t>,</w:t>
      </w:r>
      <w:r w:rsidRPr="006753BF">
        <w:rPr>
          <w:rFonts w:ascii="Arial" w:hAnsi="Arial"/>
          <w:sz w:val="20"/>
        </w:rPr>
        <w:t xml:space="preserve"> ενώ η εμπορική παραγωγή αναμένεται στα μέσα του 2026. Αφού ξεκινήσει η παραγωγή, πιστεύουμε ότι οι Σκουριές θα προσφέρουν ουσιαστική μακροπρόθεσμη ανάπτυξη και θα δημιουργήσουν σημαντική </w:t>
      </w:r>
      <w:r w:rsidR="00E14B07">
        <w:rPr>
          <w:rFonts w:ascii="Arial" w:hAnsi="Arial"/>
          <w:sz w:val="20"/>
        </w:rPr>
        <w:t>μακροχρόνια</w:t>
      </w:r>
      <w:r w:rsidRPr="006753BF">
        <w:rPr>
          <w:rFonts w:ascii="Arial" w:hAnsi="Arial"/>
          <w:sz w:val="20"/>
        </w:rPr>
        <w:t xml:space="preserve"> αξία για τους μετόχους και την ελληνική οικονομία.</w:t>
      </w:r>
    </w:p>
    <w:p w14:paraId="4DFEAE70" w14:textId="77777777" w:rsidR="00BC2819" w:rsidRPr="006753BF" w:rsidRDefault="00BC2819">
      <w:pPr>
        <w:spacing w:line="257" w:lineRule="auto"/>
        <w:jc w:val="both"/>
        <w:rPr>
          <w:rFonts w:ascii="Arial" w:eastAsia="Arial" w:hAnsi="Arial" w:cs="Arial"/>
          <w:sz w:val="20"/>
        </w:rPr>
      </w:pPr>
    </w:p>
    <w:p w14:paraId="4DFEAE71" w14:textId="15FDCE5C" w:rsidR="00BC2819" w:rsidRPr="006753BF" w:rsidRDefault="008673D2">
      <w:pPr>
        <w:spacing w:line="257" w:lineRule="auto"/>
        <w:jc w:val="both"/>
        <w:rPr>
          <w:rFonts w:ascii="Arial" w:eastAsia="Arial" w:hAnsi="Arial" w:cs="Arial"/>
          <w:sz w:val="20"/>
        </w:rPr>
      </w:pPr>
      <w:r w:rsidRPr="006753BF">
        <w:rPr>
          <w:rFonts w:ascii="Arial" w:hAnsi="Arial"/>
          <w:sz w:val="20"/>
        </w:rPr>
        <w:t>«Θα ήθελα να εκφράσω την ευγνωμοσύνη μου στην παγκόσμια ομάδα μας για την αφοσίωσή τους και τη συμβολή τους αυτό το έτος. Ατενίζοντας το μέλλον, παραμένουμε πλήρως επικεντρωμένοι στη δημιουργία μακροπρόθεσμης αξίας καθώς συνεχίζουμε να αποδεικνύουμε την ικανότητά μας να αναπτύσσουμε το παραγωγικό μας προφίλ, να βελτιστοποιούμε τις δραστηριότητές μας και να επιτυγχάνουμε βιώσιμη αξία για τους μετόχους μας</w:t>
      </w:r>
      <w:r w:rsidR="00391C92">
        <w:rPr>
          <w:rFonts w:ascii="Arial" w:hAnsi="Arial"/>
          <w:sz w:val="20"/>
        </w:rPr>
        <w:t>,</w:t>
      </w:r>
      <w:r w:rsidRPr="006753BF">
        <w:rPr>
          <w:rFonts w:ascii="Arial" w:hAnsi="Arial"/>
          <w:sz w:val="20"/>
        </w:rPr>
        <w:t xml:space="preserve"> ενώ παράλληλα διατηρούμε τα υψηλά πρότυπα ασφάλειας και υπεύθυνης περιβαλλοντικής διαχείρισης».</w:t>
      </w:r>
    </w:p>
    <w:p w14:paraId="4DFEAE72" w14:textId="77777777" w:rsidR="00BC2819" w:rsidRPr="006753BF" w:rsidRDefault="00BC2819">
      <w:pPr>
        <w:spacing w:line="269" w:lineRule="auto"/>
        <w:jc w:val="both"/>
        <w:rPr>
          <w:rFonts w:ascii="Arial" w:eastAsia="Arial" w:hAnsi="Arial" w:cs="Arial"/>
          <w:sz w:val="20"/>
        </w:rPr>
      </w:pPr>
    </w:p>
    <w:p w14:paraId="61ED6407" w14:textId="77777777" w:rsidR="00E14B07" w:rsidRDefault="00E14B07">
      <w:pPr>
        <w:rPr>
          <w:rFonts w:ascii="Arial" w:hAnsi="Arial"/>
          <w:b/>
          <w:sz w:val="22"/>
        </w:rPr>
      </w:pPr>
      <w:r>
        <w:rPr>
          <w:rFonts w:ascii="Arial" w:hAnsi="Arial"/>
          <w:b/>
          <w:sz w:val="22"/>
        </w:rPr>
        <w:br w:type="page"/>
      </w:r>
    </w:p>
    <w:p w14:paraId="4DFEAE73" w14:textId="41011773" w:rsidR="00BC2819" w:rsidRPr="006753BF" w:rsidRDefault="008673D2">
      <w:pPr>
        <w:spacing w:before="120" w:line="288" w:lineRule="auto"/>
        <w:jc w:val="both"/>
        <w:rPr>
          <w:rFonts w:ascii="Arial" w:eastAsia="Arial" w:hAnsi="Arial" w:cs="Arial"/>
          <w:b/>
          <w:sz w:val="22"/>
        </w:rPr>
      </w:pPr>
      <w:r w:rsidRPr="006753BF">
        <w:rPr>
          <w:rFonts w:ascii="Arial" w:hAnsi="Arial"/>
          <w:b/>
          <w:sz w:val="22"/>
        </w:rPr>
        <w:t>Βασικά σημεία Σκουριών</w:t>
      </w:r>
    </w:p>
    <w:p w14:paraId="4DFEAE74" w14:textId="77777777" w:rsidR="00BC2819" w:rsidRPr="006753BF" w:rsidRDefault="008673D2">
      <w:pPr>
        <w:spacing w:before="120" w:line="288" w:lineRule="auto"/>
        <w:jc w:val="both"/>
        <w:rPr>
          <w:rFonts w:ascii="Arial" w:eastAsia="Arial" w:hAnsi="Arial" w:cs="Arial"/>
          <w:i/>
          <w:sz w:val="20"/>
        </w:rPr>
      </w:pPr>
      <w:r w:rsidRPr="006753BF">
        <w:rPr>
          <w:rFonts w:ascii="Arial" w:hAnsi="Arial"/>
          <w:i/>
          <w:color w:val="000000"/>
          <w:sz w:val="20"/>
        </w:rPr>
        <w:t>Εκτίμηση κεφαλαίου και χρονοδιάγραμμα</w:t>
      </w:r>
    </w:p>
    <w:p w14:paraId="4DFEAE75"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 xml:space="preserve">Στις 5 Φεβρουαρίου 2025, η Εταιρεία ανακοίνωσε την επικαιροποίηση του χρονοδιαγράμματος του έργου και της εκτίμησης του κόστους κεφαλαίου λόγω της συνεχιζόμενης στενότητας της αγοράς εργασίας στην Ελλάδα. Το κόστος κεφαλαίου ενσωματώνει αύξηση της τάξης των 143 εκατ. δολ. περίπου και ανέρχεται συνολικά σε 1,06 δισ. δολ. Επιπλέον, η Εταιρεία αναμένει να ολοκληρώσει πρόσθετη παραγωγή προ εμπορικής λειτουργίας και έχει επιταχύνει την αγορά κινητού μεταλλευτικού εξοπλισμού υψηλότερης δυναμικότητας (αρχικά αναμενόταν να αγοραστεί μετά την εμπορική παραγωγή), έχοντας ως αποτέλεσμα επιταχυμένο λειτουργικό κεφάλαιο 154 εκατ. δολ. πριν από την εμπορική παραγωγή. </w:t>
      </w:r>
    </w:p>
    <w:p w14:paraId="4DFEAE76"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 xml:space="preserve">Η πρώτη παραγωγή του συμπυκνώματος χαλκού-χρυσού αναμένεται το πρώτο τρίμηνο του 2026. Η παραγωγή χρυσού το 2026 αναμένεται να κυμανθεί σε 135.000-155.000 ουγγιές και η παραγωγή χαλκού σε 45-60 εκατομμύρια λίβρες. Η εμπορική παραγωγή αναμένεται στα μέσα του 2026. </w:t>
      </w:r>
    </w:p>
    <w:p w14:paraId="4DFEAE77" w14:textId="77777777" w:rsidR="00BC2819" w:rsidRPr="006753BF" w:rsidRDefault="008673D2">
      <w:pPr>
        <w:spacing w:before="120" w:line="288" w:lineRule="auto"/>
        <w:jc w:val="both"/>
        <w:rPr>
          <w:rFonts w:ascii="Arial" w:eastAsia="Arial" w:hAnsi="Arial" w:cs="Arial"/>
          <w:sz w:val="20"/>
        </w:rPr>
      </w:pPr>
      <w:r w:rsidRPr="006753BF">
        <w:rPr>
          <w:rFonts w:ascii="Arial" w:hAnsi="Arial"/>
          <w:sz w:val="20"/>
        </w:rPr>
        <w:t>Με βάση τη Χρηματοδότηση Έργου που συνδέεται με τις Σκουριές και τον ισολογισμό μας, το έργο παραμένει πλήρως χρηματοδοτούμενο.</w:t>
      </w:r>
      <w:r w:rsidR="006753BF" w:rsidRPr="006753BF">
        <w:rPr>
          <w:rFonts w:ascii="Arial" w:hAnsi="Arial"/>
          <w:sz w:val="20"/>
        </w:rPr>
        <w:t xml:space="preserve"> </w:t>
      </w:r>
    </w:p>
    <w:p w14:paraId="4DFEAE78" w14:textId="77777777" w:rsidR="00BC2819" w:rsidRPr="006753BF" w:rsidRDefault="008673D2" w:rsidP="783BBF32">
      <w:pPr>
        <w:spacing w:before="120" w:line="288" w:lineRule="auto"/>
        <w:jc w:val="both"/>
        <w:rPr>
          <w:rFonts w:ascii="Arial" w:eastAsia="Arial" w:hAnsi="Arial" w:cs="Arial"/>
          <w:b/>
          <w:bCs/>
          <w:sz w:val="22"/>
          <w:szCs w:val="22"/>
        </w:rPr>
      </w:pPr>
      <w:r w:rsidRPr="783BBF32">
        <w:rPr>
          <w:rFonts w:ascii="Arial" w:hAnsi="Arial"/>
          <w:sz w:val="20"/>
          <w:szCs w:val="20"/>
        </w:rPr>
        <w:t>Οι κεφαλαιουχικές δαπάνες για τη δεύτερη φάση κατασκευής ανήλθαν συνολικά σε 97,6 εκατ. δολ. το τέταρτο τρίμηνο του 2024 και 324,7 εκατ. δολ. το 2024.</w:t>
      </w:r>
    </w:p>
    <w:p w14:paraId="4DFEAE79" w14:textId="77777777" w:rsidR="00BC2819" w:rsidRPr="006753BF" w:rsidRDefault="008673D2">
      <w:pPr>
        <w:keepLines/>
        <w:widowControl w:val="0"/>
        <w:spacing w:before="120" w:line="288" w:lineRule="auto"/>
        <w:jc w:val="both"/>
        <w:rPr>
          <w:rFonts w:ascii="Arial" w:eastAsia="Arial" w:hAnsi="Arial" w:cs="Arial"/>
          <w:b/>
          <w:color w:val="000000"/>
          <w:sz w:val="20"/>
          <w:u w:val="single"/>
        </w:rPr>
      </w:pPr>
      <w:r w:rsidRPr="006753BF">
        <w:rPr>
          <w:rFonts w:ascii="Arial" w:hAnsi="Arial"/>
          <w:b/>
          <w:color w:val="000000"/>
          <w:sz w:val="20"/>
          <w:u w:val="single"/>
        </w:rPr>
        <w:t>Κατασκευαστικές δραστηριότητες</w:t>
      </w:r>
    </w:p>
    <w:p w14:paraId="4DFEAE7A" w14:textId="77777777" w:rsidR="00BC2819" w:rsidRPr="006753BF" w:rsidRDefault="00BC2819">
      <w:pPr>
        <w:spacing w:line="288" w:lineRule="auto"/>
        <w:rPr>
          <w:rFonts w:ascii="Arial" w:eastAsia="Arial" w:hAnsi="Arial" w:cs="Arial"/>
          <w:b/>
          <w:color w:val="000000"/>
          <w:sz w:val="20"/>
          <w:u w:val="single"/>
        </w:rPr>
      </w:pPr>
    </w:p>
    <w:p w14:paraId="4DFEAE7B" w14:textId="48133F1C" w:rsidR="00BC2819" w:rsidRPr="006753BF" w:rsidRDefault="008673D2">
      <w:pPr>
        <w:spacing w:line="288" w:lineRule="auto"/>
        <w:rPr>
          <w:rFonts w:ascii="Arial" w:eastAsia="Arial" w:hAnsi="Arial" w:cs="Arial"/>
          <w:b/>
          <w:color w:val="000000"/>
          <w:sz w:val="20"/>
          <w:u w:val="single"/>
        </w:rPr>
      </w:pPr>
      <w:r w:rsidRPr="006753BF">
        <w:rPr>
          <w:rFonts w:ascii="Arial" w:hAnsi="Arial"/>
          <w:sz w:val="20"/>
        </w:rPr>
        <w:t xml:space="preserve">Σύνδεσμος για το ενημερωτικό βίντεο για την πρόοδο του τέταρτου τριμήνου του 2024: </w:t>
      </w:r>
      <w:hyperlink r:id="rId12" w:history="1">
        <w:r w:rsidR="00AF73DD">
          <w:rPr>
            <w:rFonts w:ascii="Arial" w:eastAsia="Arial" w:hAnsi="Arial" w:cs="Arial"/>
            <w:color w:val="0000FF"/>
            <w:sz w:val="20"/>
            <w:u w:val="single"/>
          </w:rPr>
          <w:t>https://youtu.be/yj92oFQgmzw</w:t>
        </w:r>
      </w:hyperlink>
    </w:p>
    <w:p w14:paraId="4DFEAE7C" w14:textId="77777777" w:rsidR="00BC2819" w:rsidRPr="006753BF" w:rsidRDefault="008673D2">
      <w:pPr>
        <w:keepLines/>
        <w:widowControl w:val="0"/>
        <w:spacing w:before="120" w:line="288" w:lineRule="auto"/>
        <w:jc w:val="both"/>
        <w:rPr>
          <w:rFonts w:ascii="Arial" w:eastAsia="Arial" w:hAnsi="Arial" w:cs="Arial"/>
          <w:b/>
          <w:i/>
          <w:color w:val="000000"/>
          <w:shd w:val="clear" w:color="auto" w:fill="FFFF00"/>
        </w:rPr>
      </w:pPr>
      <w:r w:rsidRPr="006753BF">
        <w:rPr>
          <w:rFonts w:ascii="Arial" w:hAnsi="Arial"/>
          <w:color w:val="000000"/>
          <w:sz w:val="20"/>
        </w:rPr>
        <w:t>Στις 31 Δεκεμβρίου 2024, η φάση 2 της κατασκευής του έργου είχε ολοκληρωθεί κατά 60%.</w:t>
      </w:r>
    </w:p>
    <w:p w14:paraId="4DFEAE7D" w14:textId="2AD0AAC3" w:rsidR="00BC2819" w:rsidRPr="006753BF" w:rsidRDefault="00B96DEB" w:rsidP="783BBF32">
      <w:pPr>
        <w:keepLines/>
        <w:widowControl w:val="0"/>
        <w:spacing w:before="120" w:line="288" w:lineRule="auto"/>
        <w:jc w:val="both"/>
        <w:rPr>
          <w:rFonts w:ascii="Arial" w:eastAsia="Arial" w:hAnsi="Arial" w:cs="Arial"/>
          <w:i/>
          <w:iCs/>
          <w:color w:val="000000"/>
          <w:sz w:val="20"/>
          <w:szCs w:val="20"/>
        </w:rPr>
      </w:pPr>
      <w:r w:rsidRPr="783BBF32">
        <w:rPr>
          <w:rFonts w:ascii="Arial" w:hAnsi="Arial"/>
          <w:i/>
          <w:iCs/>
          <w:color w:val="000000" w:themeColor="text1"/>
          <w:sz w:val="20"/>
          <w:szCs w:val="20"/>
        </w:rPr>
        <w:t>Μονάδα</w:t>
      </w:r>
      <w:r w:rsidR="008673D2" w:rsidRPr="783BBF32">
        <w:rPr>
          <w:rFonts w:ascii="Arial" w:hAnsi="Arial"/>
          <w:i/>
          <w:iCs/>
          <w:color w:val="000000" w:themeColor="text1"/>
          <w:sz w:val="20"/>
          <w:szCs w:val="20"/>
        </w:rPr>
        <w:t xml:space="preserve"> αφύγρανσης</w:t>
      </w:r>
    </w:p>
    <w:p w14:paraId="4DFEAE7E" w14:textId="77777777" w:rsidR="00BC2819" w:rsidRPr="006753BF" w:rsidRDefault="008673D2" w:rsidP="783BBF32">
      <w:pPr>
        <w:keepLines/>
        <w:widowControl w:val="0"/>
        <w:spacing w:before="60" w:line="288" w:lineRule="auto"/>
        <w:jc w:val="both"/>
        <w:rPr>
          <w:rFonts w:ascii="Arial" w:eastAsia="Arial" w:hAnsi="Arial" w:cs="Arial"/>
          <w:color w:val="000000"/>
          <w:sz w:val="20"/>
          <w:szCs w:val="20"/>
        </w:rPr>
      </w:pPr>
      <w:r w:rsidRPr="783BBF32">
        <w:rPr>
          <w:rFonts w:ascii="Arial" w:hAnsi="Arial"/>
          <w:color w:val="000000" w:themeColor="text1"/>
          <w:sz w:val="20"/>
          <w:szCs w:val="20"/>
        </w:rPr>
        <w:t>Οι εργασίες συνεχίζουν να εξελίσσονται στο κτίριο της μονάδας αφύγρανσης και βρίσκονται σε κρίσιμο σημείο. Έχουν ολοκληρωθεί οι πασσαλώσεις για το κτίριο της μονάδας αφύγρανσης και συνεχίζονται οι εργασίες σκυροδέτησης ώστε να πραγματοποιηθούν η συναρμολόγηση και η εγκατάσταση των μερών δομικού χάλυβα. Όλα τα μέρη των φιλτροπρεσσών, συμπεριλαμβανομένων των κατασκευασμένων πλαισίων, έχουν παραδοθεί στο εργοτάξιο. Η προσυναρμολόγηση των μερών δομικού χάλυβα συνεχίζεται.</w:t>
      </w:r>
    </w:p>
    <w:p w14:paraId="4DFEAE7F" w14:textId="5C9BFA2F" w:rsidR="00BC2819" w:rsidRPr="006753BF" w:rsidRDefault="00DD14FD">
      <w:pPr>
        <w:keepLines/>
        <w:widowControl w:val="0"/>
        <w:spacing w:before="120" w:line="288" w:lineRule="auto"/>
        <w:jc w:val="both"/>
        <w:rPr>
          <w:rFonts w:ascii="Arial" w:eastAsia="Arial" w:hAnsi="Arial" w:cs="Arial"/>
          <w:i/>
          <w:color w:val="000000"/>
          <w:sz w:val="20"/>
        </w:rPr>
      </w:pPr>
      <w:r>
        <w:rPr>
          <w:rFonts w:ascii="Arial" w:hAnsi="Arial"/>
          <w:i/>
          <w:color w:val="000000"/>
          <w:sz w:val="20"/>
        </w:rPr>
        <w:t>Μονάδα</w:t>
      </w:r>
      <w:r w:rsidR="008673D2" w:rsidRPr="006753BF">
        <w:rPr>
          <w:rFonts w:ascii="Arial" w:hAnsi="Arial"/>
          <w:i/>
          <w:color w:val="000000"/>
          <w:sz w:val="20"/>
        </w:rPr>
        <w:t xml:space="preserve"> πρωτογενούς θραύσης</w:t>
      </w:r>
    </w:p>
    <w:p w14:paraId="4DFEAE80" w14:textId="77777777" w:rsidR="00BC2819" w:rsidRPr="006753BF" w:rsidRDefault="008673D2" w:rsidP="783BBF32">
      <w:pPr>
        <w:keepLines/>
        <w:widowControl w:val="0"/>
        <w:spacing w:before="60" w:line="288" w:lineRule="auto"/>
        <w:jc w:val="both"/>
        <w:rPr>
          <w:color w:val="000000"/>
        </w:rPr>
      </w:pPr>
      <w:r w:rsidRPr="783BBF32">
        <w:rPr>
          <w:rFonts w:ascii="Arial" w:hAnsi="Arial"/>
          <w:color w:val="000000" w:themeColor="text1"/>
          <w:sz w:val="20"/>
          <w:szCs w:val="20"/>
        </w:rPr>
        <w:t>Συνεχίζεται η πρόοδος στην κατασκευή των θεμελίων του κτιρίου του σπαστήρα πρωτογενούς θραύσης καθώς τα αναχώματα συγκράτησης και οι εκσκαφές σταθεροποίησης ολοκληρώθηκαν. Η κατασκευή της μονάδας του σπαστήρα πρωτογενούς θραύσης ξεκίνησε. Ο σταθερός οικοδομικός γερανός έχει κινητοποιηθεί για το κτίριο του σπαστήρα.</w:t>
      </w:r>
    </w:p>
    <w:p w14:paraId="4DFEAE81" w14:textId="77777777" w:rsidR="00BC2819" w:rsidRPr="006753BF" w:rsidRDefault="008673D2">
      <w:pPr>
        <w:keepLines/>
        <w:widowControl w:val="0"/>
        <w:spacing w:before="120" w:line="288" w:lineRule="auto"/>
        <w:jc w:val="both"/>
        <w:rPr>
          <w:rFonts w:ascii="Arial" w:eastAsia="Arial" w:hAnsi="Arial" w:cs="Arial"/>
          <w:i/>
          <w:color w:val="000000"/>
          <w:sz w:val="20"/>
        </w:rPr>
      </w:pPr>
      <w:r w:rsidRPr="006753BF">
        <w:rPr>
          <w:rFonts w:ascii="Arial" w:hAnsi="Arial"/>
          <w:i/>
          <w:color w:val="000000"/>
          <w:sz w:val="20"/>
        </w:rPr>
        <w:t>Μονάδα κατεργασίας μεταλλεύματος</w:t>
      </w:r>
    </w:p>
    <w:p w14:paraId="4DFEAE82" w14:textId="25BC730B" w:rsidR="00BC2819" w:rsidRPr="006753BF" w:rsidRDefault="008673D2">
      <w:pPr>
        <w:keepLines/>
        <w:widowControl w:val="0"/>
        <w:spacing w:before="60" w:line="288" w:lineRule="auto"/>
        <w:jc w:val="both"/>
        <w:rPr>
          <w:color w:val="000000"/>
        </w:rPr>
      </w:pPr>
      <w:r w:rsidRPr="006753BF">
        <w:rPr>
          <w:rFonts w:ascii="Arial" w:hAnsi="Arial"/>
          <w:color w:val="000000"/>
          <w:sz w:val="20"/>
        </w:rPr>
        <w:t>Οι εργασίες στη μονάδα κατεργασίας συνεχίζονται και η επανεπένδυση των δεξαμενών επίπλευσης ολοκληρώθηκε εντός του τρίτου τριμήνου του 2024 βάσει προγράμματος</w:t>
      </w:r>
      <w:r w:rsidR="009A6E00">
        <w:rPr>
          <w:rFonts w:ascii="Arial" w:hAnsi="Arial"/>
          <w:color w:val="000000"/>
          <w:sz w:val="20"/>
        </w:rPr>
        <w:t>,</w:t>
      </w:r>
      <w:r w:rsidRPr="006753BF">
        <w:rPr>
          <w:rFonts w:ascii="Arial" w:hAnsi="Arial"/>
          <w:color w:val="000000"/>
          <w:sz w:val="20"/>
        </w:rPr>
        <w:t xml:space="preserve"> ενώ εξελίσσονται οι δομικές και μηχανολογικές εργασίες. Η εκτός εργοταξίου κατασκευή προκατασκευασμένων εξαρτημάτων σωληνώσεων σημειώνει πρόοδο και βρίσκεται σε εξέλιξη η παράδοση σωληνώσεων πολυαιθυλενίου υψηλής πυκνότητας. </w:t>
      </w:r>
      <w:r w:rsidR="00094DE3">
        <w:rPr>
          <w:rFonts w:ascii="Arial" w:hAnsi="Arial"/>
          <w:color w:val="000000"/>
          <w:sz w:val="20"/>
        </w:rPr>
        <w:t xml:space="preserve">Οι </w:t>
      </w:r>
      <w:r w:rsidR="007A51AB">
        <w:rPr>
          <w:rFonts w:ascii="Arial" w:hAnsi="Arial"/>
          <w:color w:val="000000"/>
          <w:sz w:val="20"/>
        </w:rPr>
        <w:t xml:space="preserve">εγκαταστάσεις </w:t>
      </w:r>
      <w:r w:rsidRPr="006753BF">
        <w:rPr>
          <w:rFonts w:ascii="Arial" w:hAnsi="Arial"/>
          <w:color w:val="000000"/>
          <w:sz w:val="20"/>
        </w:rPr>
        <w:t>ηλεκτρικών καλωδίων</w:t>
      </w:r>
      <w:r w:rsidR="00AC5FC2">
        <w:rPr>
          <w:rFonts w:ascii="Arial" w:hAnsi="Arial"/>
          <w:color w:val="000000"/>
          <w:sz w:val="20"/>
        </w:rPr>
        <w:t>, καθώς</w:t>
      </w:r>
      <w:r w:rsidRPr="006753BF">
        <w:rPr>
          <w:rFonts w:ascii="Arial" w:hAnsi="Arial"/>
          <w:color w:val="000000"/>
          <w:sz w:val="20"/>
        </w:rPr>
        <w:t xml:space="preserve"> και οι μηχανολογικές εγκαταστάσεις έχουν ξεκινήσει και ο εργολάβος συνεχίζει να ενισχύει το προσωπικό του για να υποστηρίξει τα αυξανόμενα επίπεδα δραστηριότητας. Συνεχίζονται οι εργασίες για την υποστηρικτική υποδομή, στην οποία περιλαμβάνονται το κτίριο </w:t>
      </w:r>
      <w:r w:rsidR="006C0BA0">
        <w:rPr>
          <w:rFonts w:ascii="Arial" w:hAnsi="Arial"/>
          <w:color w:val="000000"/>
          <w:sz w:val="20"/>
        </w:rPr>
        <w:t xml:space="preserve">του κέντρου </w:t>
      </w:r>
      <w:r w:rsidRPr="006753BF">
        <w:rPr>
          <w:rFonts w:ascii="Arial" w:hAnsi="Arial"/>
          <w:color w:val="000000"/>
          <w:sz w:val="20"/>
        </w:rPr>
        <w:t xml:space="preserve">ελέγχου </w:t>
      </w:r>
      <w:r w:rsidR="006C0BA0">
        <w:rPr>
          <w:rFonts w:ascii="Arial" w:hAnsi="Arial"/>
          <w:color w:val="000000"/>
          <w:sz w:val="20"/>
        </w:rPr>
        <w:t xml:space="preserve">της μονάδας </w:t>
      </w:r>
      <w:r w:rsidRPr="006753BF">
        <w:rPr>
          <w:rFonts w:ascii="Arial" w:hAnsi="Arial"/>
          <w:color w:val="000000"/>
          <w:sz w:val="20"/>
        </w:rPr>
        <w:t>κατεργασίας μεταλλεύματος, ο υποσταθμός των μονάδων κατεργασίας, το αντλιοστάσιο, το εργοστάσιο ασβέστη, το κτίριο των ανεμιστήρων επίπλευσης, το κτίριο του συμπιεστή και οι χώροι αντιδραστηρίων εμπλουτισμού. Η εγκατάσταση μερών δομικού χάλυβα έχει ολοκληρωθεί στο αντλιοστάσιο</w:t>
      </w:r>
      <w:r w:rsidR="00EA7BA0">
        <w:rPr>
          <w:rFonts w:ascii="Arial" w:hAnsi="Arial"/>
          <w:color w:val="000000"/>
          <w:sz w:val="20"/>
        </w:rPr>
        <w:t>,</w:t>
      </w:r>
      <w:r w:rsidRPr="006753BF">
        <w:rPr>
          <w:rFonts w:ascii="Arial" w:hAnsi="Arial"/>
          <w:color w:val="000000"/>
          <w:sz w:val="20"/>
        </w:rPr>
        <w:t xml:space="preserve"> ενώ το κτίριο του εργοστασίου ασβέστη και το κτίριο των ανεμιστήρων επίπλευσης βρίσκονται κοντά στην ολοκλήρωση.</w:t>
      </w:r>
    </w:p>
    <w:p w14:paraId="4DFEAE83" w14:textId="751140D8" w:rsidR="00BC2819" w:rsidRPr="006753BF" w:rsidRDefault="008673D2">
      <w:pPr>
        <w:keepNext/>
        <w:keepLines/>
        <w:widowControl w:val="0"/>
        <w:spacing w:before="120" w:line="288" w:lineRule="auto"/>
        <w:jc w:val="both"/>
        <w:rPr>
          <w:rFonts w:ascii="Arial" w:eastAsia="Arial" w:hAnsi="Arial" w:cs="Arial"/>
          <w:i/>
          <w:color w:val="000000"/>
          <w:sz w:val="20"/>
        </w:rPr>
      </w:pPr>
      <w:r w:rsidRPr="006753BF">
        <w:rPr>
          <w:rFonts w:ascii="Arial" w:hAnsi="Arial"/>
          <w:i/>
          <w:color w:val="000000"/>
          <w:sz w:val="20"/>
        </w:rPr>
        <w:t>Πυκνωτές</w:t>
      </w:r>
      <w:r w:rsidR="006C0BA0">
        <w:rPr>
          <w:rFonts w:ascii="Arial" w:hAnsi="Arial"/>
          <w:i/>
          <w:color w:val="000000"/>
          <w:sz w:val="20"/>
        </w:rPr>
        <w:t xml:space="preserve"> – δεξαμενές καθίζησης </w:t>
      </w:r>
    </w:p>
    <w:p w14:paraId="4DFEAE84" w14:textId="77777777" w:rsidR="00BC2819" w:rsidRPr="006753BF" w:rsidRDefault="008673D2" w:rsidP="783BBF32">
      <w:pPr>
        <w:spacing w:before="60" w:line="288" w:lineRule="auto"/>
        <w:jc w:val="both"/>
        <w:rPr>
          <w:color w:val="000000"/>
          <w:shd w:val="clear" w:color="auto" w:fill="FFFF00"/>
        </w:rPr>
      </w:pPr>
      <w:r w:rsidRPr="783BBF32">
        <w:rPr>
          <w:rFonts w:ascii="Arial" w:hAnsi="Arial"/>
          <w:color w:val="000000" w:themeColor="text1"/>
          <w:sz w:val="20"/>
          <w:szCs w:val="20"/>
        </w:rPr>
        <w:t xml:space="preserve">Η κατασκευή των τριών πυκνωτών προχώρησε με βάση το πρόγραμμα κατά τη διάρκεια του τέταρτου τριμήνου του 2024. Οι εργασίες σκυροδέτησης για τους δύο πρώτους πυκνωτές έχουν ολοκληρωθεί περίπου κατά 85% και 65%, αντίστοιχα, και έχει ξεκινήσει η κατασκευή του τρίτου πυκνωτή. </w:t>
      </w:r>
    </w:p>
    <w:p w14:paraId="4DFEAE85" w14:textId="77777777" w:rsidR="00BC2819" w:rsidRPr="006753BF" w:rsidRDefault="008673D2">
      <w:pPr>
        <w:spacing w:before="120" w:line="288" w:lineRule="auto"/>
        <w:jc w:val="both"/>
        <w:rPr>
          <w:color w:val="000000"/>
        </w:rPr>
      </w:pPr>
      <w:r w:rsidRPr="006753BF">
        <w:rPr>
          <w:rFonts w:ascii="Arial" w:hAnsi="Arial"/>
          <w:i/>
          <w:color w:val="000000"/>
          <w:sz w:val="20"/>
        </w:rPr>
        <w:t>Ολοκληρωμένη Εγκατάσταση Διαχείρισης Εξορυκτικών Αποβλήτων (IEWMF)</w:t>
      </w:r>
    </w:p>
    <w:p w14:paraId="4DFEAE86" w14:textId="77777777" w:rsidR="00BC2819" w:rsidRPr="006753BF" w:rsidRDefault="008673D2" w:rsidP="783BBF32">
      <w:pPr>
        <w:spacing w:before="60" w:line="288" w:lineRule="auto"/>
        <w:jc w:val="both"/>
        <w:rPr>
          <w:color w:val="000000"/>
          <w:shd w:val="clear" w:color="auto" w:fill="FFFF00"/>
        </w:rPr>
      </w:pPr>
      <w:r w:rsidRPr="783BBF32">
        <w:rPr>
          <w:rFonts w:ascii="Arial" w:hAnsi="Arial"/>
          <w:color w:val="000000" w:themeColor="text1"/>
          <w:sz w:val="20"/>
          <w:szCs w:val="20"/>
        </w:rPr>
        <w:t>Κατά τη διάρκεια του τέταρτου τριμήνου του 2024, συνεχίστηκε η πρόοδος των κατασκευαστικών εργασιών στον χώρο του προφράγματος με εκσκαφή του υπερχειλιστή και προετοιμασία των θεμελίων. Το πρόφραγμα αναμένεται να έχει ολοκληρωθεί στο τέλος του πρώτου τριμήνου του 2025. Στο ανάχωμα KL (ανάχωμα τελμάτων), η προετοιμασία για τη θεμελίωση αναμένεται να ξεκινήσει εντός του δεύτερου τριμήνου του 2025, μετά την τοποθέτηση του προφράγματος. Η τοποθέτηση υλικού πλήρωσης για τη δεύτερη λίμνη διαχείρισης υδάτινων πόρων προχωρά ενώ οι εκσκαφές για την πρώτη λίμνη διαχείρισης υδάτινων πόρων συνεχίζονται βάσει προγράμματος παράλληλα με την ανάπτυξη των σωρών μεταλλεύματος χαμηλής περιεκτικότητας.</w:t>
      </w:r>
    </w:p>
    <w:p w14:paraId="4DFEAE87" w14:textId="77777777" w:rsidR="00BC2819" w:rsidRPr="006753BF" w:rsidRDefault="008673D2">
      <w:pPr>
        <w:spacing w:before="120" w:line="288" w:lineRule="auto"/>
        <w:jc w:val="both"/>
        <w:rPr>
          <w:color w:val="000000"/>
        </w:rPr>
      </w:pPr>
      <w:r w:rsidRPr="006753BF">
        <w:rPr>
          <w:rFonts w:ascii="Arial" w:hAnsi="Arial"/>
          <w:i/>
          <w:color w:val="000000"/>
          <w:sz w:val="20"/>
        </w:rPr>
        <w:t xml:space="preserve">Υπόγεια ανάπτυξη </w:t>
      </w:r>
    </w:p>
    <w:p w14:paraId="4DFEAE88" w14:textId="5EE86A23" w:rsidR="00BC2819" w:rsidRPr="006753BF" w:rsidRDefault="008673D2">
      <w:pPr>
        <w:spacing w:before="60" w:line="288" w:lineRule="auto"/>
        <w:jc w:val="both"/>
        <w:rPr>
          <w:color w:val="000000"/>
          <w:shd w:val="clear" w:color="auto" w:fill="FFFF00"/>
        </w:rPr>
      </w:pPr>
      <w:r w:rsidRPr="006753BF">
        <w:rPr>
          <w:rFonts w:ascii="Arial" w:hAnsi="Arial"/>
          <w:color w:val="000000"/>
          <w:sz w:val="20"/>
        </w:rPr>
        <w:t xml:space="preserve">Έως σήμερα έχει ληφθεί περίπου το 90% του εξοπλισμού και των αδειών χειριστή και οι </w:t>
      </w:r>
      <w:r w:rsidR="00267DC7">
        <w:rPr>
          <w:rFonts w:ascii="Arial" w:hAnsi="Arial"/>
          <w:color w:val="000000"/>
          <w:sz w:val="20"/>
        </w:rPr>
        <w:t>εργασίες</w:t>
      </w:r>
      <w:r w:rsidRPr="006753BF">
        <w:rPr>
          <w:rFonts w:ascii="Arial" w:hAnsi="Arial"/>
          <w:color w:val="000000"/>
          <w:sz w:val="20"/>
        </w:rPr>
        <w:t xml:space="preserve"> ανάπτυξης κλιμακώνονται. Η πρόσβαση στα μέτωπα δοκιμών προχώρησε στην ανώτερη στάθμη νωρίτερα από το πρόγραμμα.</w:t>
      </w:r>
      <w:r w:rsidR="006753BF" w:rsidRPr="006753BF">
        <w:rPr>
          <w:rFonts w:ascii="Arial" w:hAnsi="Arial"/>
          <w:color w:val="000000"/>
          <w:sz w:val="20"/>
        </w:rPr>
        <w:t xml:space="preserve"> </w:t>
      </w:r>
      <w:r w:rsidRPr="006753BF">
        <w:rPr>
          <w:rFonts w:ascii="Arial" w:hAnsi="Arial"/>
          <w:color w:val="000000"/>
          <w:sz w:val="20"/>
        </w:rPr>
        <w:t xml:space="preserve">Τα μέτρα υπόγειας ανάπτυξης για το 2024 ανήλθαν συνολικά σε 571 σε σύγκριση με το αναμενόμενο σύνολο των 2.200 μέτρων. Η καθυστέρηση οφείλεται στη λήψη όλων των αδειών αργότερα απ’ ό,τι είχε προγραμματιστεί. Τα δύο μέτωπα δοκιμών αναμένεται να ολοκληρωθούν το 2025. </w:t>
      </w:r>
    </w:p>
    <w:p w14:paraId="4DFEAE89" w14:textId="77777777" w:rsidR="00BC2819" w:rsidRPr="006753BF" w:rsidRDefault="008673D2">
      <w:pPr>
        <w:spacing w:before="120" w:line="288" w:lineRule="auto"/>
        <w:jc w:val="both"/>
        <w:rPr>
          <w:color w:val="000000"/>
        </w:rPr>
      </w:pPr>
      <w:r w:rsidRPr="006753BF">
        <w:rPr>
          <w:rFonts w:ascii="Arial" w:hAnsi="Arial"/>
          <w:b/>
          <w:color w:val="000000"/>
          <w:sz w:val="20"/>
          <w:u w:val="single"/>
          <w:shd w:val="clear" w:color="auto" w:fill="FFFFFF"/>
        </w:rPr>
        <w:t>Μηχανολογικός σχεδιασμός, προμήθειες και επιχειρησιακή ετοιμότητα</w:t>
      </w:r>
    </w:p>
    <w:p w14:paraId="4DFEAE8A" w14:textId="77777777" w:rsidR="00BC2819" w:rsidRPr="006753BF" w:rsidRDefault="008673D2">
      <w:pPr>
        <w:spacing w:before="120" w:line="288" w:lineRule="auto"/>
        <w:jc w:val="both"/>
        <w:rPr>
          <w:color w:val="000000"/>
        </w:rPr>
      </w:pPr>
      <w:r w:rsidRPr="006753BF">
        <w:rPr>
          <w:rFonts w:ascii="Arial" w:hAnsi="Arial"/>
          <w:i/>
          <w:color w:val="000000"/>
          <w:sz w:val="20"/>
          <w:shd w:val="clear" w:color="auto" w:fill="FFFFFF"/>
        </w:rPr>
        <w:t>Μηχανολογικός σχεδιασμός</w:t>
      </w:r>
    </w:p>
    <w:p w14:paraId="4DFEAE8B" w14:textId="77777777" w:rsidR="00BC2819" w:rsidRPr="006753BF" w:rsidRDefault="008673D2">
      <w:pPr>
        <w:spacing w:before="60" w:line="288" w:lineRule="auto"/>
        <w:jc w:val="both"/>
        <w:rPr>
          <w:color w:val="000000"/>
        </w:rPr>
      </w:pPr>
      <w:r w:rsidRPr="006753BF">
        <w:rPr>
          <w:rFonts w:ascii="Arial" w:hAnsi="Arial"/>
          <w:color w:val="000000"/>
          <w:sz w:val="20"/>
          <w:shd w:val="clear" w:color="auto" w:fill="FFFFFF"/>
        </w:rPr>
        <w:t>Οι μηχανολογικές εργασίες ουσιαστικά ολοκληρώθηκαν στις 31 Δεκεμβρίου 2024. Η βαρύτητα δόθηκε στην οριστικοποίηση του μηχανολογικού σχεδιασμού για την υποστήριξη του χρονοδιαγράμματος των κατασκευαστικών εργασιών. Η διάθεση δομικού χάλυβα για κατασκευή ολοκληρώθηκε ουσιαστικά εντός του τέταρτου τριμήνου του 2024.</w:t>
      </w:r>
    </w:p>
    <w:p w14:paraId="4DFEAE8C" w14:textId="77777777" w:rsidR="00BC2819" w:rsidRPr="006753BF" w:rsidRDefault="008673D2">
      <w:pPr>
        <w:spacing w:before="120" w:line="288" w:lineRule="auto"/>
        <w:jc w:val="both"/>
        <w:rPr>
          <w:rFonts w:ascii="Arial" w:eastAsia="Arial" w:hAnsi="Arial" w:cs="Arial"/>
          <w:color w:val="000000"/>
          <w:sz w:val="20"/>
        </w:rPr>
      </w:pPr>
      <w:r w:rsidRPr="006753BF">
        <w:rPr>
          <w:rFonts w:ascii="Arial" w:hAnsi="Arial"/>
          <w:i/>
          <w:color w:val="000000"/>
          <w:sz w:val="20"/>
        </w:rPr>
        <w:t>Προμήθειες</w:t>
      </w:r>
    </w:p>
    <w:p w14:paraId="4DFEAE8D" w14:textId="77777777" w:rsidR="00BC2819" w:rsidRPr="006753BF" w:rsidRDefault="008673D2">
      <w:pPr>
        <w:spacing w:before="60" w:line="288" w:lineRule="auto"/>
        <w:jc w:val="both"/>
        <w:rPr>
          <w:rFonts w:ascii="Arial" w:eastAsia="Arial" w:hAnsi="Arial" w:cs="Arial"/>
          <w:i/>
          <w:color w:val="000000"/>
          <w:sz w:val="20"/>
        </w:rPr>
      </w:pPr>
      <w:r w:rsidRPr="006753BF">
        <w:rPr>
          <w:rFonts w:ascii="Arial" w:hAnsi="Arial"/>
          <w:color w:val="000000"/>
          <w:sz w:val="20"/>
        </w:rPr>
        <w:t xml:space="preserve">Όλες οι σημαντικές προμήθειες έχουν ολοκληρωθεί και δίνεται βαρύτητα στη διαχείριση και την επίσπευση των παραδόσεων για λόγους στήριξης της κατασκευής. </w:t>
      </w:r>
    </w:p>
    <w:p w14:paraId="4DFEAE8E" w14:textId="77777777" w:rsidR="00BC2819" w:rsidRPr="006753BF" w:rsidRDefault="008673D2">
      <w:pPr>
        <w:spacing w:before="120" w:line="288" w:lineRule="auto"/>
        <w:jc w:val="both"/>
        <w:rPr>
          <w:rFonts w:ascii="Arial" w:eastAsia="Arial" w:hAnsi="Arial" w:cs="Arial"/>
          <w:color w:val="000000"/>
          <w:sz w:val="20"/>
        </w:rPr>
      </w:pPr>
      <w:r w:rsidRPr="006753BF">
        <w:rPr>
          <w:rFonts w:ascii="Arial" w:hAnsi="Arial"/>
          <w:i/>
          <w:color w:val="000000"/>
          <w:sz w:val="20"/>
        </w:rPr>
        <w:t xml:space="preserve">Επιχειρησιακή ετοιμότητα </w:t>
      </w:r>
    </w:p>
    <w:p w14:paraId="4DFEAE8F" w14:textId="03295550" w:rsidR="00BC2819" w:rsidRPr="006753BF" w:rsidRDefault="008673D2">
      <w:pPr>
        <w:spacing w:before="60" w:line="288" w:lineRule="auto"/>
        <w:jc w:val="both"/>
        <w:rPr>
          <w:color w:val="000000"/>
          <w:shd w:val="clear" w:color="auto" w:fill="FFFF00"/>
        </w:rPr>
      </w:pPr>
      <w:r w:rsidRPr="006753BF">
        <w:rPr>
          <w:rFonts w:ascii="Arial" w:hAnsi="Arial"/>
          <w:color w:val="000000"/>
          <w:sz w:val="20"/>
          <w:shd w:val="clear" w:color="auto" w:fill="FFFFFF"/>
        </w:rPr>
        <w:t xml:space="preserve">Η </w:t>
      </w:r>
      <w:r w:rsidR="002A79FC">
        <w:rPr>
          <w:rFonts w:ascii="Arial" w:hAnsi="Arial"/>
          <w:color w:val="000000"/>
          <w:sz w:val="20"/>
          <w:shd w:val="clear" w:color="auto" w:fill="FFFFFF"/>
        </w:rPr>
        <w:t>ομάδα</w:t>
      </w:r>
      <w:r w:rsidRPr="006753BF">
        <w:rPr>
          <w:rFonts w:ascii="Arial" w:hAnsi="Arial"/>
          <w:color w:val="000000"/>
          <w:sz w:val="20"/>
          <w:shd w:val="clear" w:color="auto" w:fill="FFFFFF"/>
        </w:rPr>
        <w:t xml:space="preserve"> επιχειρησιακής ετοιμότητας σημειώνει πρόοδο στην προσθήκη νέου προσωπικού για την ανάπτυξη και την εκτέλεση βασικών εργασιών για τις εξορύξεις και την κατεργασία. Έχουν υλοποιηθεί εμπεριστατωμένες συναντήσεις για να διασφαλιστεί η εκπόνηση λεπτομερών σχεδίων για τη διαχείριση της προόδου σε όλους τους επιχειρησιακούς τομείς, συμπεριλαμβανομένης της οριστικοποίησης πλήρως ολοκληρωμένου σχεδίου επιχειρησιακής ετοιμότητας. Η ομάδα επιχειρησιακής ετοιμότητας σημειώνει πρόοδο, ιδίως σε σχέση με τον εντοπισμό κρίσιμων ανταλλακτικών. Υλοποιείται το λειτουργικό σύστημα διαχείρισης (MOS) για την ομάδα λειτουργιών των επιφανειακών εξορύξεων. </w:t>
      </w:r>
    </w:p>
    <w:p w14:paraId="4DFEAE90" w14:textId="77777777" w:rsidR="00BC2819" w:rsidRPr="006753BF" w:rsidRDefault="008673D2" w:rsidP="783BBF32">
      <w:pPr>
        <w:spacing w:before="60" w:line="288" w:lineRule="auto"/>
        <w:jc w:val="both"/>
        <w:rPr>
          <w:color w:val="000000"/>
        </w:rPr>
      </w:pPr>
      <w:r w:rsidRPr="783BBF32">
        <w:rPr>
          <w:rFonts w:ascii="Arial" w:hAnsi="Arial"/>
          <w:color w:val="000000"/>
          <w:sz w:val="20"/>
          <w:szCs w:val="20"/>
          <w:shd w:val="clear" w:color="auto" w:fill="FFFFFF"/>
        </w:rPr>
        <w:t xml:space="preserve">Η εκπαίδευση του εργατικού δυναμικού προχωρά ενώ βρίσκεται σε εξέλιξη η ανάλυση των αναγκών εκπαίδευσης για τα τμήματα εξόρυξης και κατεργασίας. Συνεχίζονται η δημιουργία περιεχόμενου και η ένταξη εσωτερικών και εξωτερικών παρόχων υπηρεσιών. </w:t>
      </w:r>
    </w:p>
    <w:p w14:paraId="4DFEAE91" w14:textId="77777777" w:rsidR="00BC2819" w:rsidRPr="006753BF" w:rsidRDefault="008673D2">
      <w:pPr>
        <w:spacing w:before="120" w:line="288" w:lineRule="auto"/>
        <w:jc w:val="both"/>
        <w:rPr>
          <w:color w:val="000000"/>
        </w:rPr>
      </w:pPr>
      <w:r w:rsidRPr="006753BF">
        <w:rPr>
          <w:rFonts w:ascii="Arial" w:hAnsi="Arial"/>
          <w:i/>
          <w:color w:val="000000"/>
          <w:sz w:val="20"/>
        </w:rPr>
        <w:t>Εργατικό δυναμικό</w:t>
      </w:r>
    </w:p>
    <w:p w14:paraId="4DFEAE92" w14:textId="77777777" w:rsidR="00BC2819" w:rsidRPr="006753BF" w:rsidRDefault="008673D2">
      <w:pPr>
        <w:spacing w:before="120" w:line="288" w:lineRule="auto"/>
        <w:jc w:val="both"/>
        <w:rPr>
          <w:color w:val="000000"/>
        </w:rPr>
      </w:pPr>
      <w:r w:rsidRPr="006753BF">
        <w:rPr>
          <w:rFonts w:ascii="Arial" w:hAnsi="Arial"/>
          <w:color w:val="000000"/>
          <w:sz w:val="20"/>
        </w:rPr>
        <w:t>Παράλληλα με την ομάδα επιχειρησιακής ετοιμότητας, στις 31 Δεκεμβρίου 2024 το προσωπικό αριθμούσε περίπου 1.050 άτομα.</w:t>
      </w:r>
    </w:p>
    <w:p w14:paraId="4DFEAE93" w14:textId="77777777" w:rsidR="00BC2819" w:rsidRPr="006753BF" w:rsidRDefault="00BC2819">
      <w:pPr>
        <w:spacing w:line="288" w:lineRule="auto"/>
        <w:rPr>
          <w:rFonts w:ascii="Arial" w:eastAsia="Arial" w:hAnsi="Arial" w:cs="Arial"/>
          <w:sz w:val="20"/>
        </w:rPr>
      </w:pPr>
    </w:p>
    <w:p w14:paraId="6D375745" w14:textId="77777777" w:rsidR="00971969" w:rsidRDefault="00971969">
      <w:pPr>
        <w:keepLines/>
        <w:widowControl w:val="0"/>
        <w:spacing w:before="120" w:line="288" w:lineRule="auto"/>
        <w:jc w:val="both"/>
        <w:rPr>
          <w:rFonts w:ascii="Arial" w:hAnsi="Arial"/>
          <w:b/>
          <w:sz w:val="22"/>
        </w:rPr>
      </w:pPr>
    </w:p>
    <w:p w14:paraId="4DFEAE94" w14:textId="4140C7A2" w:rsidR="00BC2819" w:rsidRPr="006753BF" w:rsidRDefault="008673D2">
      <w:pPr>
        <w:keepLines/>
        <w:widowControl w:val="0"/>
        <w:spacing w:before="120" w:line="288" w:lineRule="auto"/>
        <w:jc w:val="both"/>
      </w:pPr>
      <w:r w:rsidRPr="006753BF">
        <w:rPr>
          <w:rFonts w:ascii="Arial" w:hAnsi="Arial"/>
          <w:b/>
          <w:sz w:val="22"/>
        </w:rPr>
        <w:t>Επισκόπηση 2024:</w:t>
      </w:r>
      <w:r w:rsidR="006753BF" w:rsidRPr="006753BF">
        <w:rPr>
          <w:rFonts w:ascii="Arial" w:hAnsi="Arial"/>
          <w:b/>
        </w:rPr>
        <w:t xml:space="preserve"> </w:t>
      </w:r>
      <w:r w:rsidRPr="006753BF">
        <w:rPr>
          <w:rFonts w:ascii="Arial" w:hAnsi="Arial"/>
          <w:b/>
          <w:sz w:val="22"/>
        </w:rPr>
        <w:t xml:space="preserve">Έτοιμοι για ανάπτυξη </w:t>
      </w:r>
    </w:p>
    <w:p w14:paraId="4DFEAE95" w14:textId="77777777" w:rsidR="00BC2819" w:rsidRPr="006753BF" w:rsidRDefault="008673D2">
      <w:pPr>
        <w:numPr>
          <w:ilvl w:val="0"/>
          <w:numId w:val="29"/>
        </w:numPr>
        <w:spacing w:line="288" w:lineRule="auto"/>
        <w:jc w:val="both"/>
        <w:rPr>
          <w:rFonts w:ascii="Arial" w:eastAsia="Arial" w:hAnsi="Arial" w:cs="Arial"/>
        </w:rPr>
      </w:pPr>
      <w:r w:rsidRPr="006753BF">
        <w:rPr>
          <w:rFonts w:ascii="Arial" w:hAnsi="Arial"/>
          <w:b/>
          <w:sz w:val="20"/>
        </w:rPr>
        <w:t xml:space="preserve">Υγεία και ασφάλεια: </w:t>
      </w:r>
      <w:r w:rsidRPr="006753BF">
        <w:rPr>
          <w:rFonts w:ascii="Arial" w:hAnsi="Arial"/>
          <w:color w:val="000000"/>
          <w:sz w:val="20"/>
        </w:rPr>
        <w:t>Η συχνότητα τραυματισμών της Εταιρείας με χαμένο χρόνο εργασίας ανά εκατομμύριο δεδουλευμένες ώρες («LTIFR») ήταν 1,02 το τέταρτο τρίμηνο του 2024, σημειώνοντας αύξηση από τον δείκτη 0,42 το τέταρτο τρίμηνο του 2023 ενώ συνολικά ήταν 0,99 το 2024, καταγράφοντας αύξηση από τον δείκτη LTIFR ύψους 0,65 το 2023. Η Εταιρεία συνεχίζει να λαμβάνει προληπτικά μέτρα για να βελτιώσει την ασφάλεια στον χώρο εργασίας και να εξασφαλίσει ένα ασφαλές περιβάλλον εργασίας για τους εργαζόμενους και τους εργολάβους.</w:t>
      </w:r>
      <w:r w:rsidRPr="006753BF">
        <w:rPr>
          <w:rFonts w:ascii="Arial" w:hAnsi="Arial"/>
          <w:sz w:val="20"/>
        </w:rPr>
        <w:t xml:space="preserve"> </w:t>
      </w:r>
    </w:p>
    <w:p w14:paraId="4DFEAE96" w14:textId="7A373946" w:rsidR="00BC2819" w:rsidRPr="006753BF" w:rsidRDefault="008673D2">
      <w:pPr>
        <w:numPr>
          <w:ilvl w:val="0"/>
          <w:numId w:val="30"/>
        </w:numPr>
        <w:spacing w:line="288" w:lineRule="auto"/>
        <w:jc w:val="both"/>
      </w:pPr>
      <w:r w:rsidRPr="783BBF32">
        <w:rPr>
          <w:rFonts w:ascii="Arial" w:hAnsi="Arial"/>
          <w:b/>
          <w:bCs/>
          <w:sz w:val="20"/>
          <w:szCs w:val="20"/>
        </w:rPr>
        <w:t xml:space="preserve">Δυναμική ηγεσία στην ασφάλεια: </w:t>
      </w:r>
      <w:r w:rsidRPr="783BBF32">
        <w:rPr>
          <w:rFonts w:ascii="Arial" w:hAnsi="Arial"/>
          <w:sz w:val="20"/>
          <w:szCs w:val="20"/>
        </w:rPr>
        <w:t xml:space="preserve">Τον Νοέμβριο του 2024, η Εταιρεία παρουσίασε με επιτυχία μια νέα πρωτοβουλία για την υγεία και την ασφάλεια, τη δυναμική ηγεσία στην ασφάλεια </w:t>
      </w:r>
      <w:r w:rsidR="006C7826" w:rsidRPr="783BBF32">
        <w:rPr>
          <w:rFonts w:ascii="Arial" w:hAnsi="Arial"/>
          <w:sz w:val="20"/>
          <w:szCs w:val="20"/>
        </w:rPr>
        <w:t>«</w:t>
      </w:r>
      <w:r w:rsidR="006C7826" w:rsidRPr="783BBF32">
        <w:rPr>
          <w:rFonts w:ascii="Arial" w:eastAsia="Arial" w:hAnsi="Arial" w:cs="Arial"/>
          <w:sz w:val="20"/>
          <w:szCs w:val="20"/>
        </w:rPr>
        <w:t>Courageous Safety Leadership (CSL)»</w:t>
      </w:r>
      <w:r w:rsidRPr="783BBF32">
        <w:rPr>
          <w:rFonts w:ascii="Arial" w:hAnsi="Arial"/>
          <w:sz w:val="20"/>
          <w:szCs w:val="20"/>
        </w:rPr>
        <w:t xml:space="preserve">, η οποία θα συμβάλει στη διαμόρφωση της παγκόσμιας κουλτούρας υγείας και ασφάλειας στην Eldorado Gold. Η CSL έχει σχεδιαστεί με σκοπό να δώσει ώθηση στους συμμετέχοντες να διερευνήσουν τον αντίκτυπο των πεποιθήσεων, των αντιλήψεων και των συμπεριφορών τους στη δημιουργία θετικής κουλτούρας υγείας και ασφάλειας τόσο στον χώρο εργασίας όσο και στο σπίτι τους. </w:t>
      </w:r>
    </w:p>
    <w:p w14:paraId="4DFEAE97" w14:textId="77777777" w:rsidR="00BC2819" w:rsidRPr="006753BF" w:rsidRDefault="008673D2">
      <w:pPr>
        <w:numPr>
          <w:ilvl w:val="0"/>
          <w:numId w:val="31"/>
        </w:numPr>
        <w:spacing w:line="288" w:lineRule="auto"/>
        <w:jc w:val="both"/>
      </w:pPr>
      <w:r w:rsidRPr="783BBF32">
        <w:rPr>
          <w:rFonts w:ascii="Arial" w:hAnsi="Arial"/>
          <w:b/>
          <w:bCs/>
          <w:sz w:val="20"/>
          <w:szCs w:val="20"/>
        </w:rPr>
        <w:t xml:space="preserve">Βιώσιμη ανάπτυξη: </w:t>
      </w:r>
      <w:r w:rsidRPr="783BBF32">
        <w:rPr>
          <w:rFonts w:ascii="Arial" w:hAnsi="Arial"/>
          <w:sz w:val="20"/>
          <w:szCs w:val="20"/>
        </w:rPr>
        <w:t>Τον Μάιο του 2024, η Εταιρεία ολοκλήρωσε τον πρώτο γύρο εξωτερικής επαλήθευσης έναντι των πρωτοκόλλων «Προς μια βιώσιμη μεταλλευτική δραστηριότητα» της Μεταλλευτικής Ένωσης του Καναδά στις μονάδες της Eldorado ανά τον κόσμο, με ολοκλήρωση των επαληθεύσεων στο Kisladag και το Efemcukuru. Το αξιοσημείωτο είναι ότι η Εταιρεία βαθμολογήθηκε με «AAA», την υψηλότερη δυνατή βαθμολογία για όλες τις λειτουργικές μονάδες αφύγρανσης.</w:t>
      </w:r>
      <w:r w:rsidRPr="783BBF32">
        <w:rPr>
          <w:sz w:val="36"/>
          <w:szCs w:val="36"/>
        </w:rPr>
        <w:t xml:space="preserve"> </w:t>
      </w:r>
    </w:p>
    <w:p w14:paraId="4DFEAE98" w14:textId="77777777" w:rsidR="00BC2819" w:rsidRPr="006753BF" w:rsidRDefault="008673D2">
      <w:pPr>
        <w:numPr>
          <w:ilvl w:val="0"/>
          <w:numId w:val="32"/>
        </w:numPr>
        <w:spacing w:line="288" w:lineRule="auto"/>
        <w:jc w:val="both"/>
      </w:pPr>
      <w:r w:rsidRPr="783BBF32">
        <w:rPr>
          <w:rFonts w:ascii="Arial" w:hAnsi="Arial"/>
          <w:b/>
          <w:bCs/>
          <w:sz w:val="20"/>
          <w:szCs w:val="20"/>
        </w:rPr>
        <w:t xml:space="preserve">Αυξημένα ορυκτά αποθέματα: </w:t>
      </w:r>
      <w:r w:rsidRPr="783BBF32">
        <w:rPr>
          <w:rFonts w:ascii="Arial" w:hAnsi="Arial"/>
          <w:sz w:val="20"/>
          <w:szCs w:val="20"/>
        </w:rPr>
        <w:t>Τον Δεκέμβριο του 2024, δημοσιεύτηκε η επικαιροποιημένη δήλωση ορυκτών αποθεμάτων σύμφωνα με την οποία, εκτός από την αντικατάσταση των εξαντλημένων αποθεμάτων, η Εταιρεία αύξησε τα ορυκτά αποθέματα κατά 2%, με αύξηση 45% στο συγκρότημα 45% στο συγκρότημα Lamaque και αύξηση 23% στο Efemcukuru, παρέχοντας ισχυρή βάση και στηρίζοντας το παραγωγικό προφίλ της Εταιρείας τουλάχιστον για την επόμενη δεκαετία.</w:t>
      </w:r>
    </w:p>
    <w:p w14:paraId="4DFEAE99" w14:textId="77777777" w:rsidR="00BC2819" w:rsidRPr="006753BF" w:rsidRDefault="008673D2">
      <w:pPr>
        <w:numPr>
          <w:ilvl w:val="0"/>
          <w:numId w:val="33"/>
        </w:numPr>
        <w:spacing w:line="288" w:lineRule="auto"/>
        <w:jc w:val="both"/>
      </w:pPr>
      <w:r w:rsidRPr="783BBF32">
        <w:rPr>
          <w:rFonts w:ascii="Arial" w:hAnsi="Arial"/>
          <w:b/>
          <w:bCs/>
          <w:sz w:val="20"/>
          <w:szCs w:val="20"/>
        </w:rPr>
        <w:t xml:space="preserve">Δήλωση αποθεμάτων Ormaque: </w:t>
      </w:r>
      <w:r w:rsidRPr="783BBF32">
        <w:rPr>
          <w:rFonts w:ascii="Arial" w:hAnsi="Arial"/>
          <w:sz w:val="20"/>
          <w:szCs w:val="20"/>
        </w:rPr>
        <w:t xml:space="preserve">Τον Δεκέμβριο του 2024, ανακοινώθηκε το εναρκτήριο ορυκτό απόθεμα στο Ormaque. Η Εταιρεία διαθέτει δυναμικό ιστορικό από το 2017 στην επιτυχημένη αντικατάσταση των ορυκτών αποθεμάτων σε ετήσια βάση στο συγκρότημα Lamaque και οργανώνεται για μακροπρόθεσμο ορίζοντα με δύο υπόγεια μεταλλεία και σημαντικές δυνατότητες μετατροπής τεκμαιρόμενων ορυκτών πόρων με αύξηση των ερευνών. Επιπλέον, ένα χύδην δείγμα υλικών από το Ormaque υποβλήθηκε σε επεξεργασία στο τριβείο Sigma τον Δεκέμβριο του 2024. Τα προκαταρκτικά αποτελέσματα από το χύδην δείγμα ανταποκρίνονται στις προσδοκίες και στηρίζουν τα τρέχοντα ορυκτά αποθέματα του Ormaque και το μοντέλο μάζας. </w:t>
      </w:r>
    </w:p>
    <w:p w14:paraId="4DFEAE9A" w14:textId="77777777" w:rsidR="00BC2819" w:rsidRPr="006753BF" w:rsidRDefault="008673D2">
      <w:pPr>
        <w:numPr>
          <w:ilvl w:val="0"/>
          <w:numId w:val="34"/>
        </w:numPr>
        <w:spacing w:line="288" w:lineRule="auto"/>
        <w:jc w:val="both"/>
      </w:pPr>
      <w:r w:rsidRPr="783BBF32">
        <w:rPr>
          <w:rFonts w:ascii="Arial" w:hAnsi="Arial"/>
          <w:b/>
          <w:bCs/>
          <w:sz w:val="20"/>
          <w:szCs w:val="20"/>
        </w:rPr>
        <w:t xml:space="preserve">Ρεκόρ παραγωγής χρυσού στο Κεμπέκ: </w:t>
      </w:r>
      <w:r w:rsidRPr="783BBF32">
        <w:rPr>
          <w:rFonts w:ascii="Arial" w:hAnsi="Arial"/>
          <w:sz w:val="20"/>
          <w:szCs w:val="20"/>
        </w:rPr>
        <w:t xml:space="preserve">Το συγκρότημα Lamaque στο Κεμπέκ κατέγραψε άλλο ένα έτος με ρεκόρ παραγωγής χρυσού 196.538 ουγγιές το 2024, σημειώνοντας άνοδο 11% έναντι του 2023, χάρη στην αυξημένη περιεκτικότητα σε μετάλλευμα και την αυξημένη παραγωγή του τριβείου. </w:t>
      </w:r>
    </w:p>
    <w:p w14:paraId="4DFEAE9B" w14:textId="77777777" w:rsidR="00BC2819" w:rsidRPr="006753BF" w:rsidRDefault="008673D2">
      <w:pPr>
        <w:numPr>
          <w:ilvl w:val="0"/>
          <w:numId w:val="35"/>
        </w:numPr>
        <w:spacing w:line="288" w:lineRule="auto"/>
        <w:jc w:val="both"/>
      </w:pPr>
      <w:r w:rsidRPr="783BBF32">
        <w:rPr>
          <w:rFonts w:ascii="Arial" w:hAnsi="Arial"/>
          <w:b/>
          <w:bCs/>
          <w:sz w:val="20"/>
          <w:szCs w:val="20"/>
        </w:rPr>
        <w:t>Συνεχής ενίσχυση της δυναμικότητας στο Kisladag:</w:t>
      </w:r>
      <w:r w:rsidRPr="783BBF32">
        <w:rPr>
          <w:rFonts w:ascii="Arial" w:hAnsi="Arial"/>
          <w:sz w:val="20"/>
          <w:szCs w:val="20"/>
        </w:rPr>
        <w:t xml:space="preserve"> Τον Οκτώβριο του 2024, ξεκίνησε η επεξεργασία του φορτισμένου άνθρακα στη νέα βόρεια μονάδα προσρόφησης-εκρόφησης και ανάκτησης. Επιπλέον, συνεχίστηκε η προγραμματισμένη σταδιακή επέκταση των εγκαταστάσεων του χώρου έκπλυσης του βόρειου σωρού.</w:t>
      </w:r>
    </w:p>
    <w:p w14:paraId="4DFEAE9C" w14:textId="3928B70A" w:rsidR="00BC2819" w:rsidRPr="006753BF" w:rsidRDefault="008673D2">
      <w:pPr>
        <w:numPr>
          <w:ilvl w:val="0"/>
          <w:numId w:val="36"/>
        </w:numPr>
        <w:spacing w:line="288" w:lineRule="auto"/>
        <w:jc w:val="both"/>
      </w:pPr>
      <w:r w:rsidRPr="783BBF32">
        <w:rPr>
          <w:rFonts w:ascii="Arial" w:hAnsi="Arial"/>
          <w:b/>
          <w:bCs/>
          <w:sz w:val="20"/>
          <w:szCs w:val="20"/>
        </w:rPr>
        <w:t>Το Efemcukuru ανταποκρίθηκε στους στόχους για 10</w:t>
      </w:r>
      <w:r w:rsidRPr="783BBF32">
        <w:rPr>
          <w:rFonts w:ascii="Arial" w:hAnsi="Arial"/>
          <w:b/>
          <w:bCs/>
          <w:sz w:val="20"/>
          <w:szCs w:val="20"/>
          <w:vertAlign w:val="superscript"/>
        </w:rPr>
        <w:t>ο</w:t>
      </w:r>
      <w:r w:rsidR="006A20C0" w:rsidRPr="783BBF32">
        <w:rPr>
          <w:rFonts w:ascii="Arial" w:hAnsi="Arial"/>
          <w:b/>
          <w:bCs/>
          <w:sz w:val="20"/>
          <w:szCs w:val="20"/>
        </w:rPr>
        <w:t xml:space="preserve"> </w:t>
      </w:r>
      <w:r w:rsidRPr="783BBF32">
        <w:rPr>
          <w:rFonts w:ascii="Arial" w:hAnsi="Arial"/>
          <w:b/>
          <w:bCs/>
          <w:sz w:val="20"/>
          <w:szCs w:val="20"/>
        </w:rPr>
        <w:t>συναπτό έτος</w:t>
      </w:r>
      <w:r w:rsidRPr="783BBF32">
        <w:rPr>
          <w:rFonts w:ascii="Arial" w:hAnsi="Arial"/>
          <w:sz w:val="20"/>
          <w:szCs w:val="20"/>
        </w:rPr>
        <w:t>: Από το 2014, το Efemcukuru ανταποκρίνεται στις προσδοκίες των ετήσιων στόχων.</w:t>
      </w:r>
      <w:r w:rsidR="006753BF" w:rsidRPr="783BBF32">
        <w:rPr>
          <w:rFonts w:ascii="Arial" w:hAnsi="Arial"/>
        </w:rPr>
        <w:t xml:space="preserve"> </w:t>
      </w:r>
    </w:p>
    <w:p w14:paraId="4DFEAE9D" w14:textId="77777777" w:rsidR="00BC2819" w:rsidRPr="006753BF" w:rsidRDefault="008673D2">
      <w:pPr>
        <w:numPr>
          <w:ilvl w:val="0"/>
          <w:numId w:val="37"/>
        </w:numPr>
        <w:spacing w:line="288" w:lineRule="auto"/>
        <w:jc w:val="both"/>
      </w:pPr>
      <w:r w:rsidRPr="006753BF">
        <w:rPr>
          <w:rFonts w:ascii="Arial" w:hAnsi="Arial"/>
          <w:b/>
          <w:sz w:val="20"/>
        </w:rPr>
        <w:t xml:space="preserve">Ολυμπιάδα: </w:t>
      </w:r>
      <w:r w:rsidRPr="006753BF">
        <w:rPr>
          <w:rFonts w:ascii="Arial" w:hAnsi="Arial"/>
          <w:sz w:val="20"/>
        </w:rPr>
        <w:t xml:space="preserve">Τον Αύγουστο του 2024, ολοκληρώθηκε μια νέα, ενιαία και αμοιβαία επωφελής τριετής συμφωνία συλλογικών διαπραγματεύσεων με το σωματείο εργαζομένων της Ολυμπιάδας. Αυτή η νέα συμφωνία, σε συνδυασμό με τις βελτιώσεις παραγωγικότητας των υπόγειων εργασιών, θέτει τα απαραίτητα θεμέλια που θα στηρίξουν την αύξηση της δυναμικότητας του μύλου θραύσης από την τρέχουσα δυναμικότητα των 500 χιλιάδων τόνων/έτος σε 650 χιλιάδες τόνους/έτος, ευνοώντας τη μακροπρόθεσμη κερδοφορία της Ολυμπιάδας. </w:t>
      </w:r>
    </w:p>
    <w:p w14:paraId="4DFEAE9E" w14:textId="77777777" w:rsidR="00BC2819" w:rsidRPr="006753BF" w:rsidRDefault="008673D2">
      <w:pPr>
        <w:numPr>
          <w:ilvl w:val="0"/>
          <w:numId w:val="38"/>
        </w:numPr>
        <w:spacing w:line="288" w:lineRule="auto"/>
        <w:jc w:val="both"/>
      </w:pPr>
      <w:r w:rsidRPr="783BBF32">
        <w:rPr>
          <w:rFonts w:ascii="Arial" w:hAnsi="Arial"/>
          <w:b/>
          <w:bCs/>
          <w:sz w:val="20"/>
          <w:szCs w:val="20"/>
        </w:rPr>
        <w:t xml:space="preserve">Πρόοδος στρατηγικών επενδύσεων: </w:t>
      </w:r>
      <w:r w:rsidRPr="783BBF32">
        <w:rPr>
          <w:rFonts w:ascii="Arial" w:hAnsi="Arial"/>
          <w:sz w:val="20"/>
          <w:szCs w:val="20"/>
        </w:rPr>
        <w:t>Τον Ιούλιο του 2024, η Eldorado υπέγραψε συμφωνίες δικαιωμάτων προαίρεσης με την Brixton Metals για το έργο Atlin Goldfields στη βόρεια βρετανική Κολούμπια και με την TRU Precious Metals για το έργο Golden Rose στο</w:t>
      </w:r>
      <w:r w:rsidR="006753BF" w:rsidRPr="783BBF32">
        <w:rPr>
          <w:rFonts w:ascii="Arial" w:hAnsi="Arial"/>
          <w:sz w:val="20"/>
          <w:szCs w:val="20"/>
        </w:rPr>
        <w:t xml:space="preserve"> </w:t>
      </w:r>
      <w:r w:rsidRPr="783BBF32">
        <w:rPr>
          <w:rFonts w:ascii="Arial" w:hAnsi="Arial"/>
          <w:sz w:val="20"/>
          <w:szCs w:val="20"/>
        </w:rPr>
        <w:t>κεντρικό Newfoundland. Αυτές οι δύο συμφωνίες δικαιωμάτων προαίρεσης παρέχουν στην Eldorado αυξημένη έκθεση σε ευκαιρίες ερευνών σε πρώιμο στάδιο.</w:t>
      </w:r>
    </w:p>
    <w:p w14:paraId="4DFEAE9F" w14:textId="77777777" w:rsidR="00BC2819" w:rsidRPr="006753BF" w:rsidRDefault="008673D2">
      <w:pPr>
        <w:numPr>
          <w:ilvl w:val="0"/>
          <w:numId w:val="39"/>
        </w:numPr>
        <w:spacing w:line="288" w:lineRule="auto"/>
        <w:jc w:val="both"/>
      </w:pPr>
      <w:r w:rsidRPr="783BBF32">
        <w:rPr>
          <w:rFonts w:ascii="Arial" w:hAnsi="Arial"/>
          <w:b/>
          <w:bCs/>
          <w:sz w:val="20"/>
          <w:szCs w:val="20"/>
        </w:rPr>
        <w:t>Παράταση εξασφαλισμένης πιστωτικής διευκόλυνσης υψηλής εξοφλητικής προτεραιότητας:</w:t>
      </w:r>
      <w:r w:rsidRPr="783BBF32">
        <w:rPr>
          <w:rFonts w:ascii="Arial" w:hAnsi="Arial"/>
          <w:sz w:val="20"/>
          <w:szCs w:val="20"/>
        </w:rPr>
        <w:t xml:space="preserve"> Τον Ιούνιο του 2024, η Εταιρεία ανακοίνωσε ότι είχε παρατείνει και αυξήσει την εξασφαλισμένη πιστωτική διευκόλυνση υψηλής εξοφλητικής προτεραιότητας στα 350 εκατ. δολ., με δυνατότητα αύξησης πιστωτικού ορίου 100 εκατ. δολ. και τετραετή διάρκεια. Ενώ η βαρύτητα παραμένει στην υλοποίηση του έργου των Σκουριών, αυτή η διευκόλυνση παρείχε πρόσθετη οικονομική ευελιξία για να συνεχιστούν η ενίσχυση και η ανάπτυξη της επιχείρησης με ευκαιρίες δημιουργίας αξίας για όλους τους μετόχους της Eldorado.</w:t>
      </w:r>
    </w:p>
    <w:p w14:paraId="4DFEAEA0" w14:textId="77777777" w:rsidR="00BC2819" w:rsidRPr="006753BF" w:rsidRDefault="00BC2819">
      <w:pPr>
        <w:spacing w:line="276" w:lineRule="auto"/>
        <w:rPr>
          <w:rFonts w:ascii="Arial" w:eastAsia="Arial" w:hAnsi="Arial" w:cs="Arial"/>
        </w:rPr>
      </w:pPr>
    </w:p>
    <w:p w14:paraId="4DFEAEA1" w14:textId="77777777" w:rsidR="00BC2819" w:rsidRPr="006753BF" w:rsidRDefault="008673D2">
      <w:pPr>
        <w:spacing w:line="288" w:lineRule="auto"/>
        <w:jc w:val="both"/>
      </w:pPr>
      <w:r w:rsidRPr="006753BF">
        <w:rPr>
          <w:rFonts w:ascii="Arial" w:hAnsi="Arial"/>
          <w:b/>
          <w:sz w:val="20"/>
        </w:rPr>
        <w:t>Αξιοσημείωτες βραβεύσεις, αναγνωρίσεις και ορόσημα στον κλάδο:</w:t>
      </w:r>
    </w:p>
    <w:p w14:paraId="4DFEAEA2" w14:textId="77777777" w:rsidR="00BC2819" w:rsidRPr="006753BF" w:rsidRDefault="008673D2" w:rsidP="00B03804">
      <w:pPr>
        <w:numPr>
          <w:ilvl w:val="1"/>
          <w:numId w:val="40"/>
        </w:numPr>
        <w:tabs>
          <w:tab w:val="clear" w:pos="1440"/>
          <w:tab w:val="num" w:pos="720"/>
        </w:tabs>
        <w:spacing w:line="240" w:lineRule="exact"/>
        <w:ind w:left="720"/>
        <w:jc w:val="both"/>
        <w:rPr>
          <w:rFonts w:ascii="Arial" w:eastAsia="Arial" w:hAnsi="Arial" w:cs="Arial"/>
        </w:rPr>
      </w:pPr>
      <w:r w:rsidRPr="783BBF32">
        <w:rPr>
          <w:rFonts w:ascii="Arial" w:hAnsi="Arial"/>
          <w:sz w:val="20"/>
          <w:szCs w:val="20"/>
        </w:rPr>
        <w:t>Το 2024, η ομάδα της Eldorado Gold στο Κεμπέκ κέρδισε το βραβείο Αριστείας για τη συμμετοχή στις κοινότητες (Community Engagement Excellence Award) της πρωτοβουλίας «Προς μια βιώσιμη μεταλλευτική δραστηριότητα» της Μεταλλευτικής Ένωσης του Καναδά, σηματοδοτώντας το πρώτο βραβείο TSM της μονάδας και μια πρωτιά για την Eldorado. Το βραβείο απονεμήθηκε σε αναγνώριση του κοινωνικού σχεδιασμού και του μακροπρόθεσμου προγραμματισμού κλεισίματος της ομάδας του Lamaque.</w:t>
      </w:r>
    </w:p>
    <w:p w14:paraId="4DFEAEA3" w14:textId="77777777" w:rsidR="00BC2819" w:rsidRPr="006753BF" w:rsidRDefault="008673D2" w:rsidP="00B03804">
      <w:pPr>
        <w:numPr>
          <w:ilvl w:val="1"/>
          <w:numId w:val="41"/>
        </w:numPr>
        <w:tabs>
          <w:tab w:val="clear" w:pos="1440"/>
          <w:tab w:val="num" w:pos="720"/>
        </w:tabs>
        <w:spacing w:line="288" w:lineRule="auto"/>
        <w:ind w:left="720"/>
        <w:jc w:val="both"/>
      </w:pPr>
      <w:r w:rsidRPr="783BBF32">
        <w:rPr>
          <w:rFonts w:ascii="Arial" w:hAnsi="Arial"/>
          <w:sz w:val="20"/>
          <w:szCs w:val="20"/>
        </w:rPr>
        <w:t xml:space="preserve">Στον Καναδά, το συγκρότημα Lamaque γιόρτασε την 5η επέτειο εμπορικής παραγωγής. Έκτοτε, η παραγωγή του συγκροτήματος Lamaque έχει πλησιάσει σχεδόν το ένα εκατομμύριο ουγγιές χρυσού από την έναρξη της εμπορικής παραγωγής. </w:t>
      </w:r>
    </w:p>
    <w:p w14:paraId="4DFEAEA4" w14:textId="77777777" w:rsidR="00BC2819" w:rsidRPr="006753BF" w:rsidRDefault="008673D2" w:rsidP="00B03804">
      <w:pPr>
        <w:numPr>
          <w:ilvl w:val="1"/>
          <w:numId w:val="42"/>
        </w:numPr>
        <w:tabs>
          <w:tab w:val="clear" w:pos="1440"/>
          <w:tab w:val="num" w:pos="720"/>
        </w:tabs>
        <w:spacing w:line="240" w:lineRule="exact"/>
        <w:ind w:left="720"/>
        <w:jc w:val="both"/>
      </w:pPr>
      <w:r w:rsidRPr="783BBF32">
        <w:rPr>
          <w:rFonts w:ascii="Arial" w:hAnsi="Arial"/>
          <w:sz w:val="20"/>
          <w:szCs w:val="20"/>
        </w:rPr>
        <w:t>Στον Καναδά, δέκα προϊστάμενοι της Eldorado Gold Québec έλαβαν πρόσφατα αναγνώριση για την επίτευξη 50.000-200.000 ωρών χωρίς ατύχημα με χαμένο χρόνο εργασίας στις ομάδες τους.</w:t>
      </w:r>
    </w:p>
    <w:p w14:paraId="4DFEAEA5" w14:textId="77777777" w:rsidR="00BC2819" w:rsidRPr="006753BF" w:rsidRDefault="008673D2" w:rsidP="00B03804">
      <w:pPr>
        <w:numPr>
          <w:ilvl w:val="1"/>
          <w:numId w:val="43"/>
        </w:numPr>
        <w:tabs>
          <w:tab w:val="clear" w:pos="1440"/>
          <w:tab w:val="num" w:pos="720"/>
        </w:tabs>
        <w:spacing w:line="288" w:lineRule="auto"/>
        <w:ind w:left="720"/>
        <w:jc w:val="both"/>
      </w:pPr>
      <w:r w:rsidRPr="783BBF32">
        <w:rPr>
          <w:rFonts w:ascii="Arial" w:hAnsi="Arial"/>
          <w:sz w:val="20"/>
          <w:szCs w:val="20"/>
        </w:rPr>
        <w:t>Στην Ελλάδα, η Έμμυ Γαζέα, Διευθύντρια Περιβάλλοντος της Ελληνικός Χρυσός, αναγνωρίστηκε ως μία από τις 100 επιδραστικές γυναίκες παγκοσμίως στον μεταλλευτικό τομέα (100 Global Inspirational Women) από τον φορέα Women in Mining UK.</w:t>
      </w:r>
    </w:p>
    <w:p w14:paraId="4DFEAEA6" w14:textId="5879C3D3" w:rsidR="00BC2819" w:rsidRPr="006753BF" w:rsidRDefault="008673D2" w:rsidP="00B03804">
      <w:pPr>
        <w:numPr>
          <w:ilvl w:val="1"/>
          <w:numId w:val="44"/>
        </w:numPr>
        <w:tabs>
          <w:tab w:val="clear" w:pos="1440"/>
          <w:tab w:val="num" w:pos="720"/>
        </w:tabs>
        <w:spacing w:line="288" w:lineRule="auto"/>
        <w:ind w:left="720"/>
        <w:jc w:val="both"/>
      </w:pPr>
      <w:r w:rsidRPr="783BBF32">
        <w:rPr>
          <w:rFonts w:ascii="Arial" w:hAnsi="Arial"/>
          <w:sz w:val="20"/>
          <w:szCs w:val="20"/>
        </w:rPr>
        <w:t xml:space="preserve">Η Ελληνικός Χρυσός είχε την τιμή να φιλοξενήσει </w:t>
      </w:r>
      <w:r w:rsidR="00F81D91" w:rsidRPr="783BBF32">
        <w:rPr>
          <w:rFonts w:ascii="Arial" w:hAnsi="Arial"/>
          <w:sz w:val="20"/>
          <w:szCs w:val="20"/>
        </w:rPr>
        <w:t xml:space="preserve">την υφυπουργό Περιβάλλοντος &amp; Ενέργειας – Αλεξάνδρα Σδούκου και τον Υφυπουργό Εσωτερικών – Κωνσταντίνο Γκιουλέκα, στις Σκουριές, σημειώνοντας αμφότεροι τον κρίσιμο ρόλο που </w:t>
      </w:r>
      <w:r w:rsidRPr="783BBF32">
        <w:rPr>
          <w:rFonts w:ascii="Arial" w:hAnsi="Arial"/>
          <w:sz w:val="20"/>
          <w:szCs w:val="20"/>
        </w:rPr>
        <w:t xml:space="preserve">που μπορούν να διαδραματίσουν οι επενδύσεις στον μεταλλευτικό τομέα συνολικά στην ελληνική οικονομία και ειδικότερα στη Βόρεια Ελλάδα. </w:t>
      </w:r>
    </w:p>
    <w:p w14:paraId="4DFEAEA7" w14:textId="77777777" w:rsidR="00BC2819" w:rsidRPr="006753BF" w:rsidRDefault="008673D2" w:rsidP="00B03804">
      <w:pPr>
        <w:numPr>
          <w:ilvl w:val="1"/>
          <w:numId w:val="45"/>
        </w:numPr>
        <w:tabs>
          <w:tab w:val="clear" w:pos="1440"/>
          <w:tab w:val="num" w:pos="720"/>
        </w:tabs>
        <w:spacing w:line="288" w:lineRule="auto"/>
        <w:ind w:left="720"/>
        <w:jc w:val="both"/>
        <w:rPr>
          <w:rFonts w:ascii="Arial" w:eastAsia="Arial" w:hAnsi="Arial" w:cs="Arial"/>
        </w:rPr>
      </w:pPr>
      <w:r w:rsidRPr="006753BF">
        <w:rPr>
          <w:rFonts w:ascii="Arial" w:hAnsi="Arial"/>
          <w:sz w:val="20"/>
        </w:rPr>
        <w:t>Η Ελληνικός Χρυσός αναγνωρίστηκε ως ένας από τους «Κορυφαίους Εργοδότες στην Ελλάδα για το 2024» από την ICAP CRIF.</w:t>
      </w:r>
      <w:r w:rsidR="006753BF" w:rsidRPr="006753BF">
        <w:rPr>
          <w:rFonts w:ascii="Arial" w:hAnsi="Arial"/>
        </w:rPr>
        <w:t xml:space="preserve"> </w:t>
      </w:r>
    </w:p>
    <w:p w14:paraId="4DFEAEA8" w14:textId="77777777" w:rsidR="00BC2819" w:rsidRPr="006753BF" w:rsidRDefault="008673D2" w:rsidP="00B03804">
      <w:pPr>
        <w:numPr>
          <w:ilvl w:val="1"/>
          <w:numId w:val="46"/>
        </w:numPr>
        <w:tabs>
          <w:tab w:val="clear" w:pos="1440"/>
          <w:tab w:val="num" w:pos="720"/>
        </w:tabs>
        <w:spacing w:line="288" w:lineRule="auto"/>
        <w:ind w:left="720"/>
        <w:jc w:val="both"/>
      </w:pPr>
      <w:r w:rsidRPr="783BBF32">
        <w:rPr>
          <w:rFonts w:ascii="Arial" w:hAnsi="Arial"/>
          <w:sz w:val="20"/>
          <w:szCs w:val="20"/>
        </w:rPr>
        <w:t>Η Ελληνικός Χρυσός κέρδισε το Αργυρό Βραβείο στα δεύτερα Ετήσια Βραβεία Ασφάλειας της Euromines, σε αναγνώριση των καινοτόμων εκπαιδευτικών προγραμμάτων εικονικής και επαυξημένης πραγματικότητας που υλοποιήθηκαν στο προηγμένο εκπαιδευτικό κέντρο του Μαντέμ Λάκκου.</w:t>
      </w:r>
    </w:p>
    <w:p w14:paraId="4DFEAEA9" w14:textId="77777777" w:rsidR="00BC2819" w:rsidRPr="006753BF" w:rsidRDefault="008673D2" w:rsidP="00B03804">
      <w:pPr>
        <w:numPr>
          <w:ilvl w:val="1"/>
          <w:numId w:val="47"/>
        </w:numPr>
        <w:tabs>
          <w:tab w:val="clear" w:pos="1440"/>
          <w:tab w:val="num" w:pos="720"/>
        </w:tabs>
        <w:spacing w:line="240" w:lineRule="exact"/>
        <w:ind w:left="720"/>
        <w:jc w:val="both"/>
        <w:rPr>
          <w:rFonts w:ascii="Arial" w:eastAsia="Arial" w:hAnsi="Arial" w:cs="Arial"/>
        </w:rPr>
      </w:pPr>
      <w:r w:rsidRPr="783BBF32">
        <w:rPr>
          <w:rFonts w:ascii="Arial" w:hAnsi="Arial"/>
          <w:sz w:val="20"/>
          <w:szCs w:val="20"/>
        </w:rPr>
        <w:t>Στην Τουρκία, μέλη των ομάδων διάσωσης μεταλλείου στο Tüprag συμμετείχαν στον 3ο διαγωνισμό διάσωσης μεταλλείου που οργάνωσε η Ένωση Μεταλλωρύχων Τουρκίας, ισοβαθμώντας στην 1η θέση για το βραβείο «Καλύτερη ομάδα διάσωσης μεταλλείου».</w:t>
      </w:r>
    </w:p>
    <w:p w14:paraId="4DFEAEAA" w14:textId="77777777" w:rsidR="00BC2819" w:rsidRPr="006753BF" w:rsidRDefault="008673D2" w:rsidP="00B03804">
      <w:pPr>
        <w:numPr>
          <w:ilvl w:val="1"/>
          <w:numId w:val="48"/>
        </w:numPr>
        <w:tabs>
          <w:tab w:val="clear" w:pos="1440"/>
          <w:tab w:val="num" w:pos="720"/>
        </w:tabs>
        <w:spacing w:line="288" w:lineRule="auto"/>
        <w:ind w:left="720"/>
        <w:jc w:val="both"/>
      </w:pPr>
      <w:r w:rsidRPr="783BBF32">
        <w:rPr>
          <w:rFonts w:ascii="Arial" w:hAnsi="Arial"/>
          <w:sz w:val="20"/>
          <w:szCs w:val="20"/>
        </w:rPr>
        <w:t>Αναγνωρίστηκε ως μία από τις 30 εταιρείες για την πορεία προς μηδενικές καθαρές εκπομπές (Road to Net Zero) του καναδικού φορέα Globe &amp; Mail στην έκθεση Report on Business Magazine του Globe.</w:t>
      </w:r>
    </w:p>
    <w:p w14:paraId="4DFEAEAB" w14:textId="77777777" w:rsidR="00BC2819" w:rsidRPr="006753BF" w:rsidRDefault="008673D2" w:rsidP="00B03804">
      <w:pPr>
        <w:numPr>
          <w:ilvl w:val="1"/>
          <w:numId w:val="49"/>
        </w:numPr>
        <w:tabs>
          <w:tab w:val="clear" w:pos="1440"/>
          <w:tab w:val="num" w:pos="720"/>
        </w:tabs>
        <w:spacing w:line="288" w:lineRule="auto"/>
        <w:ind w:left="720"/>
        <w:jc w:val="both"/>
      </w:pPr>
      <w:r w:rsidRPr="783BBF32">
        <w:rPr>
          <w:rFonts w:ascii="Arial" w:hAnsi="Arial"/>
          <w:sz w:val="20"/>
          <w:szCs w:val="20"/>
        </w:rPr>
        <w:t>Η Eldorado κατατάχθηκε στην τρίτη θέση στον τομέα Υλικών που περιλαμβάνει τις μεταλλευτικές εργασίες στην κατάταξη Board Games 2024 του φορέα Globe &amp; Mail. Με βάση την κατάταξη Board Games, βαθμολογούνται τα διοικητικά συμβούλια των καναδικών εταιρειών που ανήκουν στον γενικό δείκτη S&amp;P/TSX σε σχέση με την ποιότητα των πρακτικών διακυβέρνησης που εφαρμόζουν και των γνωστοποιήσεών τους. Από το 2020, η Eldorado έχει βελτιώσει την κατάταξή της στον δείκτη από την 104η θέση στην 36η.</w:t>
      </w:r>
    </w:p>
    <w:p w14:paraId="4DFEAEAC" w14:textId="77777777" w:rsidR="00BC2819" w:rsidRPr="006753BF" w:rsidRDefault="008673D2" w:rsidP="00B03804">
      <w:pPr>
        <w:numPr>
          <w:ilvl w:val="1"/>
          <w:numId w:val="50"/>
        </w:numPr>
        <w:tabs>
          <w:tab w:val="clear" w:pos="1440"/>
          <w:tab w:val="num" w:pos="720"/>
        </w:tabs>
        <w:spacing w:line="288" w:lineRule="auto"/>
        <w:ind w:left="720"/>
        <w:jc w:val="both"/>
        <w:rPr>
          <w:rFonts w:ascii="Arial" w:eastAsia="Arial" w:hAnsi="Arial" w:cs="Arial"/>
        </w:rPr>
      </w:pPr>
      <w:r w:rsidRPr="783BBF32">
        <w:rPr>
          <w:rFonts w:ascii="Arial" w:hAnsi="Arial"/>
          <w:sz w:val="20"/>
          <w:szCs w:val="20"/>
        </w:rPr>
        <w:t>Ο Simon Hille, Εκτελεστικός Αντιπρόεδρος Τεχνικών Υπηρεσιών και Λειτουργιών, συγκέντρωσε περισσότερα από 55.000 δολάρια για τον φορέα Covenant House Vancouver συμμετέχοντας στην εκδήλωση Annual Executive Sleep Out στο Βανκούβερ. Ήταν η τρίτη φορά που ο Simon συμμετείχε στην εκδήλωση για να συγκεντρώσει χρήματα και να ευαισθητοποιήσει το κοινό για τους νέους που είναι άστεγοι και η 6η συνεχόμενη χρονιά συμμετοχής της Eldorado. Από το 2018, η Eldorado και αντίστοιχες εκστρατείες των εργαζομένων έχουν συγκεντρώσει περίπου 245.000 δολάρια για τον φορέα Covenant House Vancouver.</w:t>
      </w:r>
    </w:p>
    <w:p w14:paraId="4DFEAEAD" w14:textId="77777777" w:rsidR="00BC2819" w:rsidRPr="006753BF" w:rsidRDefault="00BC2819">
      <w:pPr>
        <w:spacing w:line="276" w:lineRule="auto"/>
        <w:rPr>
          <w:rFonts w:ascii="Arial" w:eastAsia="Arial" w:hAnsi="Arial" w:cs="Arial"/>
        </w:rPr>
      </w:pPr>
    </w:p>
    <w:p w14:paraId="4DFEAEAE" w14:textId="77777777" w:rsidR="00BC2819" w:rsidRPr="006753BF" w:rsidRDefault="008673D2">
      <w:pPr>
        <w:spacing w:before="120" w:line="288" w:lineRule="auto"/>
        <w:jc w:val="both"/>
        <w:rPr>
          <w:rFonts w:ascii="Arial" w:eastAsia="Arial" w:hAnsi="Arial" w:cs="Arial"/>
          <w:b/>
          <w:sz w:val="22"/>
        </w:rPr>
      </w:pPr>
      <w:r w:rsidRPr="006753BF">
        <w:rPr>
          <w:rFonts w:ascii="Arial" w:hAnsi="Arial"/>
          <w:b/>
          <w:sz w:val="22"/>
        </w:rPr>
        <w:t>Στόχος ερευνών για το 2025</w:t>
      </w:r>
    </w:p>
    <w:p w14:paraId="4DFEAEAF" w14:textId="77777777" w:rsidR="00BC2819" w:rsidRPr="006753BF" w:rsidRDefault="008673D2" w:rsidP="783BBF32">
      <w:pPr>
        <w:spacing w:before="120" w:line="288" w:lineRule="auto"/>
        <w:jc w:val="both"/>
        <w:rPr>
          <w:b/>
          <w:bCs/>
          <w:sz w:val="20"/>
          <w:szCs w:val="20"/>
        </w:rPr>
      </w:pPr>
      <w:r w:rsidRPr="783BBF32">
        <w:rPr>
          <w:rFonts w:ascii="Arial" w:hAnsi="Arial"/>
          <w:sz w:val="20"/>
          <w:szCs w:val="20"/>
        </w:rPr>
        <w:t xml:space="preserve">Οι ερευνητικές δραστηριότητες της Eldorado το 2025 επικεντρώνονται στις περιοχές στις οποίες δραστηριοποιείται η Εταιρεία και αναμένεται να περιλαμβάνουν τη μετατροπή πόρων εντός του μεταλλείου και γεωτρήσεις επέκτασης, </w:t>
      </w:r>
      <w:r w:rsidR="006753BF" w:rsidRPr="783BBF32">
        <w:rPr>
          <w:rFonts w:ascii="Arial" w:hAnsi="Arial"/>
          <w:sz w:val="20"/>
          <w:szCs w:val="20"/>
        </w:rPr>
        <w:t xml:space="preserve">καθώς και </w:t>
      </w:r>
      <w:r w:rsidRPr="783BBF32">
        <w:rPr>
          <w:rFonts w:ascii="Arial" w:hAnsi="Arial"/>
          <w:sz w:val="20"/>
          <w:szCs w:val="20"/>
        </w:rPr>
        <w:t>γεωτρήσεις που αποσκοπούν στον έλεγχο περιοχών κοντά σε υφιστάμενα μεταλλεία με πολλές πιθανότητες πρόσθετης μεταλλοφορίας (near</w:t>
      </w:r>
      <w:r w:rsidR="006753BF" w:rsidRPr="783BBF32">
        <w:rPr>
          <w:rFonts w:ascii="Arial" w:hAnsi="Arial"/>
          <w:sz w:val="20"/>
          <w:szCs w:val="20"/>
        </w:rPr>
        <w:t xml:space="preserve"> </w:t>
      </w:r>
      <w:r w:rsidRPr="783BBF32">
        <w:rPr>
          <w:rFonts w:ascii="Arial" w:hAnsi="Arial"/>
          <w:sz w:val="20"/>
          <w:szCs w:val="20"/>
        </w:rPr>
        <w:t>mine) και άλλων περιοχών με ενδιαφέροντα χαρακτηριστικά που βρίσκονται σε πρώιμο στάδιο και χρήζουν περαιτέρω έρευνας (early</w:t>
      </w:r>
      <w:r w:rsidR="006753BF" w:rsidRPr="783BBF32">
        <w:rPr>
          <w:rFonts w:ascii="Arial" w:hAnsi="Arial"/>
          <w:sz w:val="20"/>
          <w:szCs w:val="20"/>
        </w:rPr>
        <w:t xml:space="preserve"> </w:t>
      </w:r>
      <w:r w:rsidRPr="783BBF32">
        <w:rPr>
          <w:rFonts w:ascii="Arial" w:hAnsi="Arial"/>
          <w:sz w:val="20"/>
          <w:szCs w:val="20"/>
        </w:rPr>
        <w:t>stage). Περιλαμβάνεται επίσης ο καθορισμός νέων στόχων και έργων μέσω πρωτοβουλιών εντοπισμού ευκαιριών για έρευνα σε νέους χώρους. Σε όλο το χαρτοφυλάκιο, προγραμματίζονται περίπου 220.000 μέτρα γεωτρήσεων. Περιλαμβάνονται κεφαλαιοποιημένες γεωτρήσεις διατήρησης που εκτείνονται περίπου σε 94.000 μέτρα μετατροπής πόρων και γεωτρήσεις επέκτασης στις μονάδες Lamaque (Triangle και Ormaque), Efemcukuru και Ολυμπιάδας, γεωτρήσεις κεφαλαιοποιημένης ανάπτυξης σε περίπου 63.000 μέτρα μετατροπής πόρων και γεωτρήσεις επέκτασης στις μονάδες Lamaque (Ormaque) και Efemcukuru (Kokarpinar). Επιπλέον, πάνω από 90.000 μέτρα γεωτρήσεων προγραμματίζεται να ελέγξουν στόχους όλου του χαρτοφυλακίου που βρίσκονται σε πρώιμο στάδιο και χρήζουν έρευνας και έχουν καταχωριστεί οι σχετικές δαπάνες.</w:t>
      </w:r>
    </w:p>
    <w:p w14:paraId="4DFEAEB0" w14:textId="77777777" w:rsidR="00BC2819" w:rsidRPr="006753BF" w:rsidRDefault="008673D2">
      <w:pPr>
        <w:spacing w:before="120" w:line="288" w:lineRule="auto"/>
        <w:jc w:val="both"/>
        <w:rPr>
          <w:color w:val="008264"/>
        </w:rPr>
      </w:pPr>
      <w:r w:rsidRPr="006753BF">
        <w:rPr>
          <w:rFonts w:ascii="Arial" w:hAnsi="Arial"/>
          <w:b/>
          <w:color w:val="008264"/>
          <w:sz w:val="22"/>
        </w:rPr>
        <w:t>ΕΛΛΑΔΑ</w:t>
      </w:r>
    </w:p>
    <w:p w14:paraId="4DFEAEB1" w14:textId="421D5205" w:rsidR="00BC2819" w:rsidRPr="006753BF" w:rsidRDefault="008673D2">
      <w:pPr>
        <w:spacing w:before="120" w:line="288" w:lineRule="auto"/>
        <w:jc w:val="both"/>
      </w:pPr>
      <w:r w:rsidRPr="006753BF">
        <w:rPr>
          <w:rFonts w:ascii="Arial" w:hAnsi="Arial"/>
          <w:sz w:val="20"/>
        </w:rPr>
        <w:t>Οι δραστηριότητες ερευνών το 2025 στην Ελλάδα αναμένεται να επικεντρωθούν στον έλεγχο στόχων στον χώρο του μεταλλείου Ολυμπιάδας</w:t>
      </w:r>
      <w:r w:rsidR="00802338">
        <w:rPr>
          <w:rFonts w:ascii="Arial" w:hAnsi="Arial"/>
          <w:sz w:val="20"/>
        </w:rPr>
        <w:t>,</w:t>
      </w:r>
      <w:r w:rsidRPr="006753BF">
        <w:rPr>
          <w:rFonts w:ascii="Arial" w:hAnsi="Arial"/>
          <w:sz w:val="20"/>
        </w:rPr>
        <w:t xml:space="preserve"> κατά μήκος του διαδρόμου Στρατωνίου και στο έργο των Σκουριών, παράλληλα με την ανάληψη βασικών επιτόπιων δραστηριοτήτων για τον καθορισμό στόχων για μελλοντικές δοκιμαστικές γεωτρήσεις με τις άδειες ερευνών που διαθέτουμε.</w:t>
      </w:r>
    </w:p>
    <w:p w14:paraId="4DFEAEB2" w14:textId="77777777" w:rsidR="00BC2819" w:rsidRPr="006753BF" w:rsidRDefault="008673D2">
      <w:pPr>
        <w:spacing w:before="120" w:line="288" w:lineRule="auto"/>
        <w:jc w:val="both"/>
      </w:pPr>
      <w:r w:rsidRPr="006753BF">
        <w:rPr>
          <w:rFonts w:ascii="Arial" w:hAnsi="Arial"/>
          <w:b/>
          <w:sz w:val="20"/>
        </w:rPr>
        <w:t>Ολυμπιάδα</w:t>
      </w:r>
    </w:p>
    <w:p w14:paraId="4DFEAEB3" w14:textId="77777777" w:rsidR="00BC2819" w:rsidRPr="006753BF" w:rsidRDefault="008673D2">
      <w:pPr>
        <w:spacing w:line="288" w:lineRule="auto"/>
        <w:jc w:val="both"/>
      </w:pPr>
      <w:r w:rsidRPr="783BBF32">
        <w:rPr>
          <w:rFonts w:ascii="Arial" w:hAnsi="Arial"/>
          <w:sz w:val="20"/>
          <w:szCs w:val="20"/>
        </w:rPr>
        <w:t>Έχουν προγραμματιστεί περίπου 8.800 μέτρα επιφανειακών γεωτρήσεων για τον έλεγχο επεκτάσεων σε γνωστή μεταλλοφορία στη βόρεια ζώνη της Ολυμπιάδας ενώ προγραμματίζονται 9.050 μέτρα γεωτρήσεων για τον έλεγχο των επεκτάσεων από τον υπόγειο χώρο στην ανατολική και τη δυτική ζώνη.</w:t>
      </w:r>
    </w:p>
    <w:p w14:paraId="4DFEAEB4" w14:textId="77777777" w:rsidR="00BC2819" w:rsidRPr="006753BF" w:rsidRDefault="008673D2">
      <w:pPr>
        <w:spacing w:before="120" w:line="288" w:lineRule="auto"/>
        <w:jc w:val="both"/>
      </w:pPr>
      <w:r w:rsidRPr="783BBF32">
        <w:rPr>
          <w:rFonts w:ascii="Arial" w:hAnsi="Arial"/>
          <w:b/>
          <w:bCs/>
          <w:sz w:val="20"/>
          <w:szCs w:val="20"/>
        </w:rPr>
        <w:t>Σκαρν Στρατωνίου</w:t>
      </w:r>
    </w:p>
    <w:p w14:paraId="4DFEAEB5" w14:textId="77777777" w:rsidR="00BC2819" w:rsidRPr="006753BF" w:rsidRDefault="008673D2">
      <w:pPr>
        <w:spacing w:line="288" w:lineRule="auto"/>
        <w:jc w:val="both"/>
      </w:pPr>
      <w:r w:rsidRPr="783BBF32">
        <w:rPr>
          <w:rFonts w:ascii="Arial" w:hAnsi="Arial"/>
          <w:sz w:val="20"/>
          <w:szCs w:val="20"/>
        </w:rPr>
        <w:t>Προγραμματίζονται επιφανειακές γεωτρήσεις, μετά από ορισμένα αποτελέσματα του 2024, για τον έλεγχο των δυνατοτήτων του σκαρν χαλκού-χρυσού κατά μήκος του διαδρόμου Στρατωνίου στον στόχο του σκαρν Στρατωνίου. Ένα πρόγραμμα 10.000 μέτρων αναμένεται να ξεκινήσει εντός του πρώτου εξαμήνου του έτους.</w:t>
      </w:r>
    </w:p>
    <w:p w14:paraId="4DFEAEB6" w14:textId="77777777" w:rsidR="00BC2819" w:rsidRPr="006753BF" w:rsidRDefault="008673D2">
      <w:pPr>
        <w:spacing w:before="120" w:line="288" w:lineRule="auto"/>
        <w:jc w:val="both"/>
      </w:pPr>
      <w:r w:rsidRPr="006753BF">
        <w:rPr>
          <w:rFonts w:ascii="Arial" w:hAnsi="Arial"/>
          <w:b/>
          <w:sz w:val="20"/>
        </w:rPr>
        <w:t>Σκουριές</w:t>
      </w:r>
    </w:p>
    <w:p w14:paraId="4DFEAEB7" w14:textId="77777777" w:rsidR="00BC2819" w:rsidRPr="006753BF" w:rsidRDefault="008673D2">
      <w:pPr>
        <w:spacing w:line="288" w:lineRule="auto"/>
        <w:rPr>
          <w:lang w:val="en-US"/>
        </w:rPr>
      </w:pPr>
      <w:r w:rsidRPr="006753BF">
        <w:rPr>
          <w:rFonts w:ascii="Arial" w:hAnsi="Arial"/>
          <w:sz w:val="20"/>
        </w:rPr>
        <w:t>Έχουν ξεκινήσει οι υπόγειες γεωτρήσεις στις Σκουριές, με στόχο τη μετατροπή και τη διεύρυνση των πόρων. Προς</w:t>
      </w:r>
      <w:r w:rsidRPr="006753BF">
        <w:rPr>
          <w:rFonts w:ascii="Arial" w:hAnsi="Arial"/>
          <w:sz w:val="20"/>
          <w:lang w:val="en-US"/>
        </w:rPr>
        <w:t xml:space="preserve"> </w:t>
      </w:r>
      <w:r w:rsidRPr="006753BF">
        <w:rPr>
          <w:rFonts w:ascii="Arial" w:hAnsi="Arial"/>
          <w:sz w:val="20"/>
        </w:rPr>
        <w:t>το</w:t>
      </w:r>
      <w:r w:rsidRPr="006753BF">
        <w:rPr>
          <w:rFonts w:ascii="Arial" w:hAnsi="Arial"/>
          <w:sz w:val="20"/>
          <w:lang w:val="en-US"/>
        </w:rPr>
        <w:t xml:space="preserve"> </w:t>
      </w:r>
      <w:r w:rsidRPr="006753BF">
        <w:rPr>
          <w:rFonts w:ascii="Arial" w:hAnsi="Arial"/>
          <w:sz w:val="20"/>
        </w:rPr>
        <w:t>παρόν</w:t>
      </w:r>
      <w:r w:rsidRPr="006753BF">
        <w:rPr>
          <w:rFonts w:ascii="Arial" w:hAnsi="Arial"/>
          <w:sz w:val="20"/>
          <w:lang w:val="en-US"/>
        </w:rPr>
        <w:t xml:space="preserve">, </w:t>
      </w:r>
      <w:r w:rsidRPr="006753BF">
        <w:rPr>
          <w:rFonts w:ascii="Arial" w:hAnsi="Arial"/>
          <w:sz w:val="20"/>
        </w:rPr>
        <w:t>προγραμματίζονται</w:t>
      </w:r>
      <w:r w:rsidRPr="006753BF">
        <w:rPr>
          <w:rFonts w:ascii="Arial" w:hAnsi="Arial"/>
          <w:sz w:val="20"/>
          <w:lang w:val="en-US"/>
        </w:rPr>
        <w:t xml:space="preserve"> </w:t>
      </w:r>
      <w:r w:rsidRPr="006753BF">
        <w:rPr>
          <w:rFonts w:ascii="Arial" w:hAnsi="Arial"/>
          <w:sz w:val="20"/>
        </w:rPr>
        <w:t>περίπου</w:t>
      </w:r>
      <w:r w:rsidRPr="006753BF">
        <w:rPr>
          <w:rFonts w:ascii="Arial" w:hAnsi="Arial"/>
          <w:sz w:val="20"/>
          <w:lang w:val="en-US"/>
        </w:rPr>
        <w:t xml:space="preserve"> 5.000 </w:t>
      </w:r>
      <w:r w:rsidRPr="006753BF">
        <w:rPr>
          <w:rFonts w:ascii="Arial" w:hAnsi="Arial"/>
          <w:sz w:val="20"/>
        </w:rPr>
        <w:t>μέτρα</w:t>
      </w:r>
      <w:r w:rsidRPr="006753BF">
        <w:rPr>
          <w:rFonts w:ascii="Arial" w:hAnsi="Arial"/>
          <w:sz w:val="20"/>
          <w:lang w:val="en-US"/>
        </w:rPr>
        <w:t xml:space="preserve"> </w:t>
      </w:r>
      <w:r w:rsidRPr="006753BF">
        <w:rPr>
          <w:rFonts w:ascii="Arial" w:hAnsi="Arial"/>
          <w:sz w:val="20"/>
        </w:rPr>
        <w:t>γεωτρήσεων</w:t>
      </w:r>
      <w:r w:rsidRPr="006753BF">
        <w:rPr>
          <w:rFonts w:ascii="Arial" w:hAnsi="Arial"/>
          <w:sz w:val="20"/>
          <w:lang w:val="en-US"/>
        </w:rPr>
        <w:t>.</w:t>
      </w:r>
    </w:p>
    <w:p w14:paraId="4DFEAEB8" w14:textId="77777777" w:rsidR="00BC2819" w:rsidRPr="006753BF" w:rsidRDefault="00BC2819">
      <w:pPr>
        <w:spacing w:line="288" w:lineRule="auto"/>
        <w:rPr>
          <w:lang w:val="en-US"/>
        </w:rPr>
        <w:sectPr w:rsidR="00BC2819" w:rsidRPr="006753BF">
          <w:footerReference w:type="default" r:id="rId13"/>
          <w:type w:val="continuous"/>
          <w:pgSz w:w="12240" w:h="15840"/>
          <w:pgMar w:top="900" w:right="990" w:bottom="900" w:left="990" w:header="0" w:footer="270" w:gutter="0"/>
          <w:pgNumType w:start="1"/>
          <w:cols w:space="708"/>
          <w:docGrid w:linePitch="360"/>
        </w:sectPr>
      </w:pPr>
    </w:p>
    <w:p w14:paraId="4B61338B" w14:textId="77777777" w:rsidR="0061045F" w:rsidRPr="0061045F" w:rsidRDefault="0061045F" w:rsidP="0061045F">
      <w:pPr>
        <w:spacing w:line="288" w:lineRule="auto"/>
        <w:outlineLvl w:val="0"/>
        <w:rPr>
          <w:rFonts w:ascii="Arial" w:eastAsia="Arial" w:hAnsi="Arial" w:cs="Arial"/>
          <w:b/>
          <w:sz w:val="22"/>
          <w:lang w:val="en-US"/>
        </w:rPr>
      </w:pPr>
      <w:bookmarkStart w:id="1" w:name="Section2"/>
      <w:bookmarkEnd w:id="1"/>
      <w:r w:rsidRPr="0061045F">
        <w:rPr>
          <w:rFonts w:ascii="Arial" w:eastAsia="Arial" w:hAnsi="Arial" w:cs="Arial"/>
          <w:b/>
          <w:color w:val="000000"/>
          <w:sz w:val="22"/>
          <w:lang w:val="en-US"/>
        </w:rPr>
        <w:t xml:space="preserve">Consolidated Financial and Operational Highlights </w:t>
      </w:r>
      <w:r w:rsidRPr="0061045F">
        <w:rPr>
          <w:rFonts w:ascii="Arial" w:eastAsia="Arial" w:hAnsi="Arial" w:cs="Arial"/>
          <w:b/>
          <w:lang w:val="en-US"/>
        </w:rPr>
        <w:t xml:space="preserve"> </w:t>
      </w:r>
    </w:p>
    <w:p w14:paraId="6B033E66" w14:textId="77777777" w:rsidR="0061045F" w:rsidRPr="0061045F" w:rsidRDefault="0061045F" w:rsidP="0061045F">
      <w:pPr>
        <w:spacing w:before="60" w:line="288" w:lineRule="auto"/>
        <w:rPr>
          <w:rFonts w:ascii="Arial" w:eastAsia="Arial" w:hAnsi="Arial" w:cs="Arial"/>
          <w:b/>
          <w:sz w:val="20"/>
          <w:lang w:val="en-US"/>
        </w:rPr>
      </w:pPr>
      <w:r w:rsidRPr="0061045F">
        <w:rPr>
          <w:rFonts w:ascii="Arial" w:eastAsia="Arial" w:hAnsi="Arial" w:cs="Arial"/>
          <w:b/>
          <w:color w:val="000000"/>
          <w:sz w:val="20"/>
          <w:lang w:val="en-US"/>
        </w:rPr>
        <w:t>Summarized Annual Financial Results</w:t>
      </w:r>
      <w:r w:rsidRPr="0061045F">
        <w:rPr>
          <w:rFonts w:ascii="Arial" w:eastAsia="Arial" w:hAnsi="Arial" w:cs="Arial"/>
          <w:b/>
          <w:sz w:val="20"/>
          <w:lang w:val="en-US"/>
        </w:rPr>
        <w:t xml:space="preserve"> </w:t>
      </w:r>
    </w:p>
    <w:p w14:paraId="767DC643" w14:textId="77777777" w:rsidR="0061045F" w:rsidRPr="0061045F" w:rsidRDefault="0061045F" w:rsidP="0061045F">
      <w:pPr>
        <w:spacing w:before="100" w:line="288" w:lineRule="auto"/>
        <w:jc w:val="center"/>
        <w:rPr>
          <w:rFonts w:ascii="Arial" w:eastAsia="Arial" w:hAnsi="Arial" w:cs="Arial"/>
          <w:sz w:val="20"/>
          <w:lang w:val="en-US"/>
        </w:rPr>
      </w:pPr>
      <w:r w:rsidRPr="0061045F">
        <w:rPr>
          <w:rFonts w:ascii="Arial" w:eastAsia="Arial" w:hAnsi="Arial" w:cs="Arial"/>
          <w:sz w:val="20"/>
          <w:lang w:val="en-US"/>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5"/>
        <w:gridCol w:w="1440"/>
        <w:gridCol w:w="1440"/>
        <w:gridCol w:w="1455"/>
      </w:tblGrid>
      <w:tr w:rsidR="0061045F" w14:paraId="2EE8D7A6"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center"/>
          </w:tcPr>
          <w:p w14:paraId="522BF83E" w14:textId="77777777" w:rsidR="0061045F" w:rsidRPr="0061045F" w:rsidRDefault="0061045F" w:rsidP="003931D5">
            <w:pPr>
              <w:keepNext/>
              <w:ind w:left="135"/>
              <w:rPr>
                <w:lang w:val="en-US"/>
              </w:rPr>
            </w:pPr>
          </w:p>
        </w:tc>
        <w:tc>
          <w:tcPr>
            <w:tcW w:w="144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7BDF3EC2" w14:textId="77777777" w:rsidR="0061045F" w:rsidRDefault="0061045F" w:rsidP="003931D5">
            <w:pPr>
              <w:keepNext/>
              <w:tabs>
                <w:tab w:val="left" w:pos="965"/>
                <w:tab w:val="left" w:pos="1372"/>
              </w:tabs>
              <w:jc w:val="right"/>
            </w:pPr>
            <w:r w:rsidRPr="0061045F">
              <w:rPr>
                <w:rFonts w:ascii="Arial" w:eastAsia="Arial" w:hAnsi="Arial" w:cs="Arial"/>
                <w:b/>
                <w:color w:val="000000"/>
                <w:sz w:val="16"/>
                <w:lang w:val="en-US"/>
              </w:rPr>
              <w:tab/>
            </w:r>
            <w:r>
              <w:rPr>
                <w:rFonts w:ascii="Arial" w:eastAsia="Arial" w:hAnsi="Arial" w:cs="Arial"/>
                <w:b/>
                <w:color w:val="000000"/>
                <w:sz w:val="16"/>
              </w:rPr>
              <w:t>2024</w:t>
            </w:r>
            <w:r>
              <w:rPr>
                <w:rFonts w:ascii="Arial" w:eastAsia="Arial" w:hAnsi="Arial" w:cs="Arial"/>
                <w:b/>
                <w:color w:val="000000"/>
                <w:sz w:val="16"/>
              </w:rPr>
              <w:tab/>
            </w:r>
          </w:p>
        </w:tc>
        <w:tc>
          <w:tcPr>
            <w:tcW w:w="144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3E778952" w14:textId="77777777" w:rsidR="0061045F" w:rsidRDefault="0061045F" w:rsidP="003931D5">
            <w:pPr>
              <w:keepNext/>
              <w:tabs>
                <w:tab w:val="left" w:pos="965"/>
                <w:tab w:val="left" w:pos="1372"/>
              </w:tabs>
              <w:jc w:val="right"/>
            </w:pPr>
            <w:r>
              <w:rPr>
                <w:rFonts w:ascii="Arial" w:eastAsia="Arial" w:hAnsi="Arial" w:cs="Arial"/>
                <w:b/>
                <w:color w:val="000000"/>
                <w:sz w:val="16"/>
              </w:rPr>
              <w:tab/>
              <w:t>2023</w:t>
            </w:r>
            <w:r>
              <w:rPr>
                <w:rFonts w:ascii="Arial" w:eastAsia="Arial" w:hAnsi="Arial" w:cs="Arial"/>
                <w:b/>
                <w:color w:val="000000"/>
                <w:sz w:val="16"/>
              </w:rPr>
              <w:tab/>
            </w:r>
          </w:p>
        </w:tc>
        <w:tc>
          <w:tcPr>
            <w:tcW w:w="145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0ADBD78C" w14:textId="77777777" w:rsidR="0061045F" w:rsidRDefault="0061045F" w:rsidP="003931D5">
            <w:pPr>
              <w:keepNext/>
              <w:tabs>
                <w:tab w:val="left" w:pos="980"/>
                <w:tab w:val="left" w:pos="1387"/>
              </w:tabs>
              <w:jc w:val="right"/>
            </w:pPr>
            <w:r>
              <w:rPr>
                <w:rFonts w:ascii="Arial" w:eastAsia="Arial" w:hAnsi="Arial" w:cs="Arial"/>
                <w:b/>
                <w:color w:val="000000"/>
                <w:sz w:val="16"/>
              </w:rPr>
              <w:tab/>
              <w:t>2022</w:t>
            </w:r>
            <w:r>
              <w:rPr>
                <w:rFonts w:ascii="Arial" w:eastAsia="Arial" w:hAnsi="Arial" w:cs="Arial"/>
                <w:b/>
                <w:color w:val="000000"/>
                <w:sz w:val="16"/>
              </w:rPr>
              <w:tab/>
            </w:r>
          </w:p>
        </w:tc>
      </w:tr>
      <w:tr w:rsidR="0061045F" w14:paraId="71796CC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5A5C137" w14:textId="77777777" w:rsidR="0061045F" w:rsidRDefault="0061045F"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Revenue</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F22084" w14:textId="77777777" w:rsidR="0061045F" w:rsidRDefault="0061045F" w:rsidP="003931D5">
            <w:pPr>
              <w:keepNext/>
              <w:tabs>
                <w:tab w:val="left" w:pos="699"/>
                <w:tab w:val="left" w:pos="1372"/>
              </w:tabs>
              <w:spacing w:before="33" w:after="30"/>
              <w:jc w:val="right"/>
            </w:pPr>
            <w:r>
              <w:rPr>
                <w:rFonts w:ascii="Arial" w:eastAsia="Arial" w:hAnsi="Arial" w:cs="Arial"/>
                <w:color w:val="000000"/>
                <w:sz w:val="16"/>
              </w:rPr>
              <w:tab/>
              <w:t>$1,322.6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D63103" w14:textId="77777777" w:rsidR="0061045F" w:rsidRDefault="0061045F" w:rsidP="003931D5">
            <w:pPr>
              <w:keepNext/>
              <w:tabs>
                <w:tab w:val="left" w:pos="699"/>
                <w:tab w:val="left" w:pos="1372"/>
              </w:tabs>
              <w:spacing w:before="33" w:after="30"/>
              <w:jc w:val="right"/>
            </w:pPr>
            <w:r>
              <w:rPr>
                <w:rFonts w:ascii="Arial" w:eastAsia="Arial" w:hAnsi="Arial" w:cs="Arial"/>
                <w:color w:val="000000"/>
                <w:sz w:val="16"/>
              </w:rPr>
              <w:tab/>
              <w:t>$1,008.5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22F762" w14:textId="77777777" w:rsidR="0061045F" w:rsidRDefault="0061045F" w:rsidP="003931D5">
            <w:pPr>
              <w:keepNext/>
              <w:tabs>
                <w:tab w:val="left" w:pos="847"/>
                <w:tab w:val="left" w:pos="1387"/>
              </w:tabs>
              <w:spacing w:before="33" w:after="30"/>
              <w:jc w:val="right"/>
            </w:pPr>
            <w:r>
              <w:rPr>
                <w:rFonts w:ascii="Arial" w:eastAsia="Arial" w:hAnsi="Arial" w:cs="Arial"/>
                <w:color w:val="000000"/>
                <w:sz w:val="16"/>
              </w:rPr>
              <w:tab/>
              <w:t>$872.0</w:t>
            </w:r>
            <w:r>
              <w:rPr>
                <w:rFonts w:ascii="Arial" w:eastAsia="Arial" w:hAnsi="Arial" w:cs="Arial"/>
                <w:color w:val="000000"/>
                <w:sz w:val="16"/>
              </w:rPr>
              <w:tab/>
            </w:r>
          </w:p>
        </w:tc>
      </w:tr>
      <w:tr w:rsidR="0061045F" w14:paraId="5F8710DA"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A4DEF38" w14:textId="77777777" w:rsidR="0061045F" w:rsidRDefault="0061045F" w:rsidP="003931D5">
            <w:pPr>
              <w:keepNext/>
              <w:spacing w:before="33" w:after="30"/>
              <w:ind w:left="135"/>
            </w:pPr>
            <w:r w:rsidRPr="783BBF32">
              <w:rPr>
                <w:rFonts w:ascii="Arial" w:eastAsia="Arial" w:hAnsi="Arial" w:cs="Arial"/>
                <w:color w:val="000000" w:themeColor="text1"/>
                <w:sz w:val="16"/>
                <w:szCs w:val="16"/>
              </w:rPr>
              <w:t>Gold produced (oz)</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ADF1FB7"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D0B0A8"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15FC90" w14:textId="77777777" w:rsidR="0061045F" w:rsidRDefault="0061045F" w:rsidP="003931D5">
            <w:pPr>
              <w:keepNext/>
              <w:tabs>
                <w:tab w:val="left" w:pos="758"/>
                <w:tab w:val="left" w:pos="1387"/>
              </w:tabs>
              <w:spacing w:before="33" w:after="30"/>
              <w:jc w:val="right"/>
            </w:pPr>
            <w:r>
              <w:rPr>
                <w:rFonts w:ascii="Arial" w:eastAsia="Arial" w:hAnsi="Arial" w:cs="Arial"/>
                <w:color w:val="000000"/>
                <w:sz w:val="16"/>
              </w:rPr>
              <w:tab/>
              <w:t>453,916</w:t>
            </w:r>
            <w:r>
              <w:rPr>
                <w:rFonts w:ascii="Arial" w:eastAsia="Arial" w:hAnsi="Arial" w:cs="Arial"/>
                <w:color w:val="000000"/>
                <w:sz w:val="16"/>
              </w:rPr>
              <w:tab/>
            </w:r>
          </w:p>
        </w:tc>
      </w:tr>
      <w:tr w:rsidR="0061045F" w14:paraId="0B915FC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B9E74A7" w14:textId="77777777" w:rsidR="0061045F" w:rsidRDefault="0061045F" w:rsidP="003931D5">
            <w:pPr>
              <w:keepNext/>
              <w:spacing w:before="33" w:after="30"/>
              <w:ind w:left="135"/>
            </w:pPr>
            <w:r w:rsidRPr="783BBF32">
              <w:rPr>
                <w:rFonts w:ascii="Arial" w:eastAsia="Arial" w:hAnsi="Arial" w:cs="Arial"/>
                <w:color w:val="000000" w:themeColor="text1"/>
                <w:sz w:val="16"/>
                <w:szCs w:val="16"/>
              </w:rPr>
              <w:t>Gold sold (oz)</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EE155D"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0B683CE"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EB2258" w14:textId="77777777" w:rsidR="0061045F" w:rsidRDefault="0061045F" w:rsidP="003931D5">
            <w:pPr>
              <w:keepNext/>
              <w:tabs>
                <w:tab w:val="left" w:pos="758"/>
                <w:tab w:val="left" w:pos="1387"/>
              </w:tabs>
              <w:spacing w:before="33" w:after="30"/>
              <w:jc w:val="right"/>
            </w:pPr>
            <w:r>
              <w:rPr>
                <w:rFonts w:ascii="Arial" w:eastAsia="Arial" w:hAnsi="Arial" w:cs="Arial"/>
                <w:color w:val="000000"/>
                <w:sz w:val="16"/>
              </w:rPr>
              <w:tab/>
              <w:t>452,953</w:t>
            </w:r>
            <w:r>
              <w:rPr>
                <w:rFonts w:ascii="Arial" w:eastAsia="Arial" w:hAnsi="Arial" w:cs="Arial"/>
                <w:color w:val="000000"/>
                <w:sz w:val="16"/>
              </w:rPr>
              <w:tab/>
            </w:r>
          </w:p>
        </w:tc>
      </w:tr>
      <w:tr w:rsidR="0061045F" w14:paraId="78614E4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31394DA"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42674F" w14:textId="77777777" w:rsidR="0061045F" w:rsidRDefault="0061045F" w:rsidP="003931D5">
            <w:pPr>
              <w:keepNext/>
              <w:tabs>
                <w:tab w:val="left" w:pos="832"/>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$2,405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81FBB1" w14:textId="77777777" w:rsidR="0061045F" w:rsidRDefault="0061045F" w:rsidP="003931D5">
            <w:pPr>
              <w:keepNext/>
              <w:tabs>
                <w:tab w:val="left" w:pos="832"/>
                <w:tab w:val="left" w:pos="1372"/>
              </w:tabs>
              <w:spacing w:before="33" w:after="30"/>
              <w:jc w:val="right"/>
            </w:pPr>
            <w:r>
              <w:rPr>
                <w:rFonts w:ascii="Arial" w:eastAsia="Arial" w:hAnsi="Arial" w:cs="Arial"/>
                <w:color w:val="000000"/>
                <w:sz w:val="16"/>
              </w:rPr>
              <w:tab/>
              <w:t>$1,944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A1A5C4" w14:textId="77777777" w:rsidR="0061045F" w:rsidRDefault="0061045F" w:rsidP="003931D5">
            <w:pPr>
              <w:keepNext/>
              <w:tabs>
                <w:tab w:val="left" w:pos="847"/>
                <w:tab w:val="left" w:pos="1387"/>
              </w:tabs>
              <w:spacing w:before="33" w:after="30"/>
              <w:jc w:val="right"/>
            </w:pPr>
            <w:r>
              <w:rPr>
                <w:rFonts w:ascii="Arial" w:eastAsia="Arial" w:hAnsi="Arial" w:cs="Arial"/>
                <w:color w:val="000000"/>
                <w:sz w:val="16"/>
              </w:rPr>
              <w:tab/>
              <w:t>$1,787</w:t>
            </w:r>
            <w:r>
              <w:rPr>
                <w:rFonts w:ascii="Arial" w:eastAsia="Arial" w:hAnsi="Arial" w:cs="Arial"/>
                <w:color w:val="000000"/>
                <w:sz w:val="16"/>
              </w:rPr>
              <w:tab/>
            </w:r>
          </w:p>
        </w:tc>
      </w:tr>
      <w:tr w:rsidR="0061045F" w14:paraId="73ED9B8D"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805FB26" w14:textId="77777777" w:rsidR="0061045F" w:rsidRDefault="0061045F"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880C18A"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E8D91B6"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1BF75E"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459.6</w:t>
            </w:r>
            <w:r>
              <w:rPr>
                <w:rFonts w:ascii="Arial" w:eastAsia="Arial" w:hAnsi="Arial" w:cs="Arial"/>
                <w:color w:val="000000"/>
                <w:sz w:val="16"/>
              </w:rPr>
              <w:tab/>
            </w:r>
          </w:p>
        </w:tc>
      </w:tr>
      <w:tr w:rsidR="0061045F" w14:paraId="5AE7A06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D75583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costs ($/oz sold) </w:t>
            </w:r>
            <w:r w:rsidRPr="00BF725B">
              <w:rPr>
                <w:rFonts w:ascii="Arial" w:eastAsia="Arial" w:hAnsi="Arial" w:cs="Arial"/>
                <w:sz w:val="16"/>
                <w:vertAlign w:val="superscript"/>
                <w:lang w:val="en-US"/>
              </w:rPr>
              <w:t>(2,3)</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9C6610B" w14:textId="77777777" w:rsidR="0061045F" w:rsidRDefault="0061045F" w:rsidP="003931D5">
            <w:pPr>
              <w:keepNext/>
              <w:tabs>
                <w:tab w:val="left" w:pos="1054"/>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940</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85B0D8" w14:textId="77777777" w:rsidR="0061045F" w:rsidRDefault="0061045F" w:rsidP="003931D5">
            <w:pPr>
              <w:keepNext/>
              <w:tabs>
                <w:tab w:val="left" w:pos="1054"/>
                <w:tab w:val="left" w:pos="1372"/>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DE441C" w14:textId="77777777" w:rsidR="0061045F" w:rsidRDefault="0061045F" w:rsidP="003931D5">
            <w:pPr>
              <w:keepNext/>
              <w:tabs>
                <w:tab w:val="left" w:pos="1069"/>
                <w:tab w:val="left" w:pos="1387"/>
              </w:tabs>
              <w:spacing w:before="33" w:after="30"/>
              <w:jc w:val="right"/>
            </w:pPr>
            <w:r>
              <w:rPr>
                <w:rFonts w:ascii="Arial" w:eastAsia="Arial" w:hAnsi="Arial" w:cs="Arial"/>
                <w:color w:val="000000"/>
                <w:sz w:val="16"/>
              </w:rPr>
              <w:tab/>
              <w:t>878</w:t>
            </w:r>
            <w:r>
              <w:rPr>
                <w:rFonts w:ascii="Arial" w:eastAsia="Arial" w:hAnsi="Arial" w:cs="Arial"/>
                <w:color w:val="000000"/>
                <w:sz w:val="16"/>
              </w:rPr>
              <w:tab/>
            </w:r>
          </w:p>
        </w:tc>
      </w:tr>
      <w:tr w:rsidR="0061045F" w14:paraId="26D5199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300FB57"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All-in sustaining costs ($/oz sold)</w:t>
            </w:r>
            <w:r w:rsidRPr="00BF725B">
              <w:rPr>
                <w:rFonts w:ascii="Arial" w:eastAsia="Arial" w:hAnsi="Arial" w:cs="Arial"/>
                <w:sz w:val="16"/>
                <w:vertAlign w:val="superscript"/>
                <w:lang w:val="en-US"/>
              </w:rPr>
              <w:t xml:space="preserve"> (2,3)</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B6F85E"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1,285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1631E19"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86576E"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1,276</w:t>
            </w:r>
            <w:r>
              <w:rPr>
                <w:rFonts w:ascii="Arial" w:eastAsia="Arial" w:hAnsi="Arial" w:cs="Arial"/>
                <w:color w:val="000000"/>
                <w:sz w:val="16"/>
              </w:rPr>
              <w:tab/>
            </w:r>
          </w:p>
        </w:tc>
      </w:tr>
      <w:tr w:rsidR="0061045F" w14:paraId="499A7343"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84273DD"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for the period </w:t>
            </w:r>
            <w:r w:rsidRPr="00BF725B">
              <w:rPr>
                <w:rFonts w:ascii="Arial" w:eastAsia="Arial" w:hAnsi="Arial" w:cs="Arial"/>
                <w:sz w:val="16"/>
                <w:vertAlign w:val="superscript"/>
                <w:lang w:val="en-US"/>
              </w:rPr>
              <w:t xml:space="preserve"> (1)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63DB3A"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289.1</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9DDEFCC"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104.6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4559FF" w14:textId="77777777" w:rsidR="0061045F" w:rsidRDefault="0061045F" w:rsidP="003931D5">
            <w:pPr>
              <w:keepNext/>
              <w:tabs>
                <w:tab w:val="left" w:pos="863"/>
              </w:tabs>
              <w:spacing w:before="33" w:after="30"/>
              <w:jc w:val="right"/>
            </w:pPr>
            <w:r>
              <w:rPr>
                <w:rFonts w:ascii="Arial" w:eastAsia="Arial" w:hAnsi="Arial" w:cs="Arial"/>
                <w:color w:val="000000"/>
                <w:sz w:val="16"/>
              </w:rPr>
              <w:tab/>
              <w:t>(353.8)</w:t>
            </w:r>
          </w:p>
        </w:tc>
      </w:tr>
      <w:tr w:rsidR="0061045F" w14:paraId="603D95BC"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544B332"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per share – basic ($/share) </w:t>
            </w:r>
            <w:r w:rsidRPr="00BF725B">
              <w:rPr>
                <w:rFonts w:ascii="Arial" w:eastAsia="Arial" w:hAnsi="Arial" w:cs="Arial"/>
                <w:sz w:val="16"/>
                <w:vertAlign w:val="superscript"/>
                <w:lang w:val="en-US"/>
              </w:rPr>
              <w:t>(1)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79B678B"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1.42</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E02C4B"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100931" w14:textId="77777777" w:rsidR="0061045F" w:rsidRDefault="0061045F" w:rsidP="003931D5">
            <w:pPr>
              <w:keepNext/>
              <w:tabs>
                <w:tab w:val="left" w:pos="952"/>
              </w:tabs>
              <w:spacing w:before="33" w:after="30"/>
              <w:jc w:val="right"/>
            </w:pPr>
            <w:r>
              <w:rPr>
                <w:rFonts w:ascii="Arial" w:eastAsia="Arial" w:hAnsi="Arial" w:cs="Arial"/>
                <w:color w:val="000000"/>
                <w:sz w:val="16"/>
              </w:rPr>
              <w:tab/>
              <w:t>(1.93)</w:t>
            </w:r>
          </w:p>
        </w:tc>
      </w:tr>
      <w:tr w:rsidR="0061045F" w14:paraId="4BE35FB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5A62DBB"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per share – diluted ($/share) </w:t>
            </w:r>
            <w:r w:rsidRPr="00BF725B">
              <w:rPr>
                <w:rFonts w:ascii="Arial" w:eastAsia="Arial" w:hAnsi="Arial" w:cs="Arial"/>
                <w:sz w:val="16"/>
                <w:vertAlign w:val="superscript"/>
                <w:lang w:val="en-US"/>
              </w:rPr>
              <w:t>(1)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353002"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1.41</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7F84BB"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13E921" w14:textId="77777777" w:rsidR="0061045F" w:rsidRDefault="0061045F" w:rsidP="003931D5">
            <w:pPr>
              <w:keepNext/>
              <w:tabs>
                <w:tab w:val="left" w:pos="952"/>
              </w:tabs>
              <w:spacing w:before="33" w:after="30"/>
              <w:jc w:val="right"/>
            </w:pPr>
            <w:r>
              <w:rPr>
                <w:rFonts w:ascii="Arial" w:eastAsia="Arial" w:hAnsi="Arial" w:cs="Arial"/>
                <w:color w:val="000000"/>
                <w:sz w:val="16"/>
              </w:rPr>
              <w:tab/>
              <w:t>(1.93)</w:t>
            </w:r>
          </w:p>
        </w:tc>
      </w:tr>
      <w:tr w:rsidR="0061045F" w14:paraId="1D14CC5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CDCE42C"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for the period continuing operations </w:t>
            </w:r>
            <w:r w:rsidRPr="00BF725B">
              <w:rPr>
                <w:rFonts w:ascii="Arial" w:eastAsia="Arial" w:hAnsi="Arial" w:cs="Arial"/>
                <w:sz w:val="16"/>
                <w:vertAlign w:val="superscript"/>
                <w:lang w:val="en-US"/>
              </w:rPr>
              <w:t>(1,4)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2A5841"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300.9</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88A197"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106.2</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ABC798" w14:textId="77777777" w:rsidR="0061045F" w:rsidRDefault="0061045F" w:rsidP="003931D5">
            <w:pPr>
              <w:keepNext/>
              <w:tabs>
                <w:tab w:val="left" w:pos="952"/>
              </w:tabs>
              <w:spacing w:before="33" w:after="30"/>
              <w:jc w:val="right"/>
            </w:pPr>
            <w:r>
              <w:rPr>
                <w:rFonts w:ascii="Arial" w:eastAsia="Arial" w:hAnsi="Arial" w:cs="Arial"/>
                <w:color w:val="000000"/>
                <w:sz w:val="16"/>
              </w:rPr>
              <w:tab/>
              <w:t>(49.2)</w:t>
            </w:r>
          </w:p>
        </w:tc>
      </w:tr>
      <w:tr w:rsidR="0061045F" w14:paraId="099CE3AB"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1F0EF54"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earnings (loss) per share continuing operations – basic ($/share)</w:t>
            </w:r>
            <w:r w:rsidRPr="00BF725B">
              <w:rPr>
                <w:rFonts w:ascii="Arial" w:eastAsia="Arial" w:hAnsi="Arial" w:cs="Arial"/>
                <w:sz w:val="16"/>
                <w:vertAlign w:val="superscript"/>
                <w:lang w:val="en-US"/>
              </w:rPr>
              <w:t xml:space="preserve"> (1,4)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1A3C0C"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7E884E"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3FDA0D" w14:textId="77777777" w:rsidR="0061045F" w:rsidRDefault="0061045F" w:rsidP="003931D5">
            <w:pPr>
              <w:keepNext/>
              <w:tabs>
                <w:tab w:val="left" w:pos="952"/>
              </w:tabs>
              <w:spacing w:before="33" w:after="30"/>
              <w:jc w:val="right"/>
            </w:pPr>
            <w:r>
              <w:rPr>
                <w:rFonts w:ascii="Arial" w:eastAsia="Arial" w:hAnsi="Arial" w:cs="Arial"/>
                <w:color w:val="000000"/>
                <w:sz w:val="16"/>
              </w:rPr>
              <w:tab/>
              <w:t>(0.27)</w:t>
            </w:r>
          </w:p>
        </w:tc>
      </w:tr>
      <w:tr w:rsidR="0061045F" w14:paraId="203C6F16"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2D6BA69"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earnings (loss) per share continuing operations – diluted ($/share)</w:t>
            </w:r>
            <w:r w:rsidRPr="00BF725B">
              <w:rPr>
                <w:rFonts w:ascii="Arial" w:eastAsia="Arial" w:hAnsi="Arial" w:cs="Arial"/>
                <w:sz w:val="16"/>
                <w:vertAlign w:val="superscript"/>
                <w:lang w:val="en-US"/>
              </w:rPr>
              <w:t xml:space="preserve"> (1,4)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BA48B0"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8377BC"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951B13" w14:textId="77777777" w:rsidR="0061045F" w:rsidRDefault="0061045F" w:rsidP="003931D5">
            <w:pPr>
              <w:keepNext/>
              <w:tabs>
                <w:tab w:val="left" w:pos="952"/>
              </w:tabs>
              <w:spacing w:before="33" w:after="30"/>
              <w:jc w:val="right"/>
            </w:pPr>
            <w:r>
              <w:rPr>
                <w:rFonts w:ascii="Arial" w:eastAsia="Arial" w:hAnsi="Arial" w:cs="Arial"/>
                <w:color w:val="000000"/>
                <w:sz w:val="16"/>
              </w:rPr>
              <w:tab/>
              <w:t>(0.27)</w:t>
            </w:r>
          </w:p>
        </w:tc>
      </w:tr>
      <w:tr w:rsidR="0061045F" w14:paraId="2654863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7E67E6"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 basic </w:t>
            </w:r>
            <w:r w:rsidRPr="00BF725B">
              <w:rPr>
                <w:rFonts w:ascii="Arial" w:eastAsia="Arial" w:hAnsi="Arial" w:cs="Arial"/>
                <w:sz w:val="16"/>
                <w:vertAlign w:val="superscript"/>
                <w:lang w:val="en-US"/>
              </w:rPr>
              <w:t>(1,2,4)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64B248"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320.7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1831D2"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110.7</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E3C31EF" w14:textId="77777777" w:rsidR="0061045F" w:rsidRDefault="0061045F" w:rsidP="003931D5">
            <w:pPr>
              <w:keepNext/>
              <w:tabs>
                <w:tab w:val="left" w:pos="1025"/>
                <w:tab w:val="left" w:pos="1387"/>
              </w:tabs>
              <w:spacing w:before="33" w:after="30"/>
              <w:jc w:val="right"/>
            </w:pPr>
            <w:r>
              <w:rPr>
                <w:rFonts w:ascii="Arial" w:eastAsia="Arial" w:hAnsi="Arial" w:cs="Arial"/>
                <w:color w:val="000000"/>
                <w:sz w:val="16"/>
              </w:rPr>
              <w:tab/>
              <w:t>10.1</w:t>
            </w:r>
            <w:r>
              <w:rPr>
                <w:rFonts w:ascii="Arial" w:eastAsia="Arial" w:hAnsi="Arial" w:cs="Arial"/>
                <w:color w:val="000000"/>
                <w:sz w:val="16"/>
              </w:rPr>
              <w:tab/>
            </w:r>
          </w:p>
        </w:tc>
      </w:tr>
      <w:tr w:rsidR="0061045F" w14:paraId="3E8008FB"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3AD2D5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per share continuing operations - basic ($/share) </w:t>
            </w:r>
            <w:r w:rsidRPr="00BF725B">
              <w:rPr>
                <w:rFonts w:ascii="Arial" w:eastAsia="Arial" w:hAnsi="Arial" w:cs="Arial"/>
                <w:sz w:val="16"/>
                <w:vertAlign w:val="superscript"/>
                <w:lang w:val="en-US"/>
              </w:rPr>
              <w:t>(1,2,4)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B14223"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1.57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C432942"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0.57</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929C39" w14:textId="77777777" w:rsidR="0061045F" w:rsidRDefault="0061045F" w:rsidP="003931D5">
            <w:pPr>
              <w:keepNext/>
              <w:tabs>
                <w:tab w:val="left" w:pos="1025"/>
                <w:tab w:val="left" w:pos="1387"/>
              </w:tabs>
              <w:spacing w:before="33" w:after="30"/>
              <w:jc w:val="right"/>
            </w:pPr>
            <w:r>
              <w:rPr>
                <w:rFonts w:ascii="Arial" w:eastAsia="Arial" w:hAnsi="Arial" w:cs="Arial"/>
                <w:color w:val="000000"/>
                <w:sz w:val="16"/>
              </w:rPr>
              <w:tab/>
              <w:t>0.05</w:t>
            </w:r>
            <w:r>
              <w:rPr>
                <w:rFonts w:ascii="Arial" w:eastAsia="Arial" w:hAnsi="Arial" w:cs="Arial"/>
                <w:color w:val="000000"/>
                <w:sz w:val="16"/>
              </w:rPr>
              <w:tab/>
            </w:r>
          </w:p>
        </w:tc>
      </w:tr>
      <w:tr w:rsidR="0061045F" w14:paraId="00E1B112"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0E5499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cash generated from operating activities</w:t>
            </w:r>
            <w:r w:rsidRPr="00BF725B">
              <w:rPr>
                <w:rFonts w:ascii="Arial" w:eastAsia="Arial" w:hAnsi="Arial" w:cs="Arial"/>
                <w:sz w:val="16"/>
                <w:vertAlign w:val="superscript"/>
                <w:lang w:val="en-US"/>
              </w:rPr>
              <w:t xml:space="preserve"> (4)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451FD8"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645.7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E349DC"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382.9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952CBB"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211.2</w:t>
            </w:r>
            <w:r>
              <w:rPr>
                <w:rFonts w:ascii="Arial" w:eastAsia="Arial" w:hAnsi="Arial" w:cs="Arial"/>
                <w:color w:val="000000"/>
                <w:sz w:val="16"/>
              </w:rPr>
              <w:tab/>
            </w:r>
          </w:p>
        </w:tc>
      </w:tr>
      <w:tr w:rsidR="0061045F" w14:paraId="6335F049"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D52AD4F"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Cash flow from operating activities before changes in working capital</w:t>
            </w:r>
            <w:r w:rsidRPr="00BF725B">
              <w:rPr>
                <w:rFonts w:ascii="Arial" w:eastAsia="Arial" w:hAnsi="Arial" w:cs="Arial"/>
                <w:sz w:val="16"/>
                <w:vertAlign w:val="superscript"/>
                <w:lang w:val="en-US"/>
              </w:rPr>
              <w:t xml:space="preserve"> (2,4)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CF9FF9"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635.5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38DDB7"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411.2</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9E692F"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239.5</w:t>
            </w:r>
            <w:r>
              <w:rPr>
                <w:rFonts w:ascii="Arial" w:eastAsia="Arial" w:hAnsi="Arial" w:cs="Arial"/>
                <w:color w:val="000000"/>
                <w:sz w:val="16"/>
              </w:rPr>
              <w:tab/>
            </w:r>
          </w:p>
        </w:tc>
      </w:tr>
      <w:tr w:rsidR="0061045F" w14:paraId="541998A2"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75013E9" w14:textId="77777777" w:rsidR="0061045F" w:rsidRDefault="0061045F"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Free cash flow </w:t>
            </w:r>
            <w:r w:rsidRPr="783BBF32">
              <w:rPr>
                <w:rFonts w:ascii="Arial" w:eastAsia="Arial" w:hAnsi="Arial" w:cs="Arial"/>
                <w:sz w:val="16"/>
                <w:szCs w:val="16"/>
                <w:vertAlign w:val="superscript"/>
              </w:rPr>
              <w:t>(2,4)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18A0FE" w14:textId="77777777" w:rsidR="0061045F" w:rsidRDefault="0061045F" w:rsidP="003931D5">
            <w:pPr>
              <w:keepNext/>
              <w:tabs>
                <w:tab w:val="left" w:pos="1099"/>
                <w:tab w:val="left" w:pos="1372"/>
              </w:tabs>
              <w:spacing w:before="33" w:after="30"/>
              <w:jc w:val="right"/>
            </w:pPr>
            <w:r>
              <w:rPr>
                <w:rFonts w:ascii="Arial" w:eastAsia="Arial" w:hAnsi="Arial" w:cs="Arial"/>
                <w:color w:val="000000"/>
                <w:sz w:val="16"/>
              </w:rPr>
              <w:tab/>
              <w:t>6.8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E517D3" w14:textId="77777777" w:rsidR="0061045F" w:rsidRDefault="0061045F" w:rsidP="003931D5">
            <w:pPr>
              <w:keepNext/>
              <w:tabs>
                <w:tab w:val="left" w:pos="937"/>
              </w:tabs>
              <w:spacing w:before="33" w:after="30"/>
              <w:jc w:val="right"/>
            </w:pPr>
            <w:r>
              <w:rPr>
                <w:rFonts w:ascii="Arial" w:eastAsia="Arial" w:hAnsi="Arial" w:cs="Arial"/>
                <w:color w:val="000000"/>
                <w:sz w:val="16"/>
              </w:rPr>
              <w:tab/>
              <w:t>(47.2)</w:t>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4CFD48B" w14:textId="77777777" w:rsidR="0061045F" w:rsidRDefault="0061045F" w:rsidP="003931D5">
            <w:pPr>
              <w:keepNext/>
              <w:tabs>
                <w:tab w:val="left" w:pos="863"/>
              </w:tabs>
              <w:spacing w:before="33" w:after="30"/>
              <w:jc w:val="right"/>
            </w:pPr>
            <w:r>
              <w:rPr>
                <w:rFonts w:ascii="Arial" w:eastAsia="Arial" w:hAnsi="Arial" w:cs="Arial"/>
                <w:color w:val="000000"/>
                <w:sz w:val="16"/>
              </w:rPr>
              <w:tab/>
              <w:t>(104.5)</w:t>
            </w:r>
          </w:p>
        </w:tc>
      </w:tr>
      <w:tr w:rsidR="0061045F" w14:paraId="001A658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016B45"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7D2FE6"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342.0</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A371E2"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112.6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54B116" w14:textId="77777777" w:rsidR="0061045F" w:rsidRDefault="0061045F" w:rsidP="003931D5">
            <w:pPr>
              <w:keepNext/>
              <w:tabs>
                <w:tab w:val="left" w:pos="952"/>
              </w:tabs>
              <w:spacing w:before="33" w:after="30"/>
              <w:jc w:val="right"/>
            </w:pPr>
            <w:r>
              <w:rPr>
                <w:rFonts w:ascii="Arial" w:eastAsia="Arial" w:hAnsi="Arial" w:cs="Arial"/>
                <w:color w:val="000000"/>
                <w:sz w:val="16"/>
              </w:rPr>
              <w:tab/>
              <w:t>(69.4)</w:t>
            </w:r>
          </w:p>
        </w:tc>
      </w:tr>
      <w:tr w:rsidR="0061045F" w14:paraId="4615FB67"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FB47E13" w14:textId="77777777" w:rsidR="0061045F" w:rsidRDefault="0061045F"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Cash and cash equivalents</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555694"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6E72C09"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91311C"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279.7</w:t>
            </w:r>
            <w:r>
              <w:rPr>
                <w:rFonts w:ascii="Arial" w:eastAsia="Arial" w:hAnsi="Arial" w:cs="Arial"/>
                <w:color w:val="000000"/>
                <w:sz w:val="16"/>
              </w:rPr>
              <w:tab/>
            </w:r>
          </w:p>
        </w:tc>
      </w:tr>
      <w:tr w:rsidR="0061045F" w14:paraId="6A99B593"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45A7E8D" w14:textId="77777777" w:rsidR="0061045F" w:rsidRDefault="0061045F"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Total assets</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B5C2C9" w14:textId="77777777" w:rsidR="0061045F" w:rsidRDefault="0061045F" w:rsidP="003931D5">
            <w:pPr>
              <w:keepNext/>
              <w:tabs>
                <w:tab w:val="left" w:pos="788"/>
                <w:tab w:val="left" w:pos="1372"/>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FE7183" w14:textId="77777777" w:rsidR="0061045F" w:rsidRDefault="0061045F" w:rsidP="003931D5">
            <w:pPr>
              <w:keepNext/>
              <w:tabs>
                <w:tab w:val="left" w:pos="788"/>
                <w:tab w:val="left" w:pos="1372"/>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5575EB" w14:textId="77777777" w:rsidR="0061045F" w:rsidRDefault="0061045F" w:rsidP="003931D5">
            <w:pPr>
              <w:keepNext/>
              <w:tabs>
                <w:tab w:val="left" w:pos="803"/>
                <w:tab w:val="left" w:pos="1387"/>
              </w:tabs>
              <w:spacing w:before="33" w:after="30"/>
              <w:jc w:val="right"/>
            </w:pPr>
            <w:r>
              <w:rPr>
                <w:rFonts w:ascii="Arial" w:eastAsia="Arial" w:hAnsi="Arial" w:cs="Arial"/>
                <w:color w:val="000000"/>
                <w:sz w:val="16"/>
              </w:rPr>
              <w:tab/>
              <w:t>4,457.9</w:t>
            </w:r>
            <w:r>
              <w:rPr>
                <w:rFonts w:ascii="Arial" w:eastAsia="Arial" w:hAnsi="Arial" w:cs="Arial"/>
                <w:color w:val="000000"/>
                <w:sz w:val="16"/>
              </w:rPr>
              <w:tab/>
            </w:r>
          </w:p>
        </w:tc>
      </w:tr>
      <w:tr w:rsidR="0061045F" w14:paraId="6EC82C3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D7B653"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Debt</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7A5389" w14:textId="77777777" w:rsidR="0061045F" w:rsidRDefault="0061045F" w:rsidP="003931D5">
            <w:pPr>
              <w:tabs>
                <w:tab w:val="left" w:pos="921"/>
                <w:tab w:val="left" w:pos="1372"/>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E39040" w14:textId="77777777" w:rsidR="0061045F" w:rsidRDefault="0061045F" w:rsidP="003931D5">
            <w:pPr>
              <w:tabs>
                <w:tab w:val="left" w:pos="921"/>
                <w:tab w:val="left" w:pos="1372"/>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21CD28" w14:textId="77777777" w:rsidR="0061045F" w:rsidRDefault="0061045F" w:rsidP="003931D5">
            <w:pPr>
              <w:tabs>
                <w:tab w:val="left" w:pos="936"/>
                <w:tab w:val="left" w:pos="1387"/>
              </w:tabs>
              <w:spacing w:before="33" w:after="30"/>
              <w:jc w:val="right"/>
            </w:pPr>
            <w:r>
              <w:rPr>
                <w:rFonts w:ascii="Arial" w:eastAsia="Arial" w:hAnsi="Arial" w:cs="Arial"/>
                <w:color w:val="000000"/>
                <w:sz w:val="16"/>
              </w:rPr>
              <w:tab/>
              <w:t>494.4</w:t>
            </w:r>
            <w:r>
              <w:rPr>
                <w:rFonts w:ascii="Arial" w:eastAsia="Arial" w:hAnsi="Arial" w:cs="Arial"/>
                <w:color w:val="000000"/>
                <w:sz w:val="16"/>
              </w:rPr>
              <w:tab/>
            </w:r>
          </w:p>
        </w:tc>
      </w:tr>
    </w:tbl>
    <w:p w14:paraId="1054BB55"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Attributable to shareholders of the Company. </w:t>
      </w:r>
    </w:p>
    <w:p w14:paraId="1DA369D9"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2024 MD&amp;A.</w:t>
      </w:r>
    </w:p>
    <w:p w14:paraId="212065A1"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Revenues from silver, lead and zinc sales are offset against total cash costs. </w:t>
      </w:r>
    </w:p>
    <w:p w14:paraId="72E78303" w14:textId="77777777" w:rsidR="0061045F" w:rsidRDefault="0061045F" w:rsidP="783BBF32">
      <w:pPr>
        <w:numPr>
          <w:ilvl w:val="0"/>
          <w:numId w:val="51"/>
        </w:numPr>
        <w:spacing w:line="288" w:lineRule="auto"/>
        <w:ind w:left="630"/>
        <w:rPr>
          <w:rFonts w:ascii="Arial" w:eastAsia="Arial" w:hAnsi="Arial" w:cs="Arial"/>
          <w:i/>
          <w:iCs/>
          <w:sz w:val="14"/>
          <w:szCs w:val="14"/>
        </w:rPr>
      </w:pPr>
      <w:r w:rsidRPr="00086E54">
        <w:rPr>
          <w:rFonts w:ascii="Arial" w:eastAsia="Arial" w:hAnsi="Arial" w:cs="Arial"/>
          <w:i/>
          <w:iCs/>
          <w:color w:val="000000" w:themeColor="text1"/>
          <w:sz w:val="14"/>
          <w:szCs w:val="14"/>
          <w:lang w:val="en-US"/>
        </w:rPr>
        <w:t xml:space="preserve">Amounts presented are from continuing operations only and exclude the Romania segment. </w:t>
      </w:r>
      <w:r w:rsidRPr="783BBF32">
        <w:rPr>
          <w:rFonts w:ascii="Arial" w:eastAsia="Arial" w:hAnsi="Arial" w:cs="Arial"/>
          <w:i/>
          <w:iCs/>
          <w:color w:val="000000" w:themeColor="text1"/>
          <w:sz w:val="14"/>
          <w:szCs w:val="14"/>
        </w:rPr>
        <w:t xml:space="preserve">See Note 6 of our consolidated financial statements. </w:t>
      </w:r>
    </w:p>
    <w:p w14:paraId="369A0CC4" w14:textId="77777777" w:rsidR="0061045F" w:rsidRDefault="0061045F" w:rsidP="0061045F">
      <w:pPr>
        <w:spacing w:before="60" w:line="288" w:lineRule="auto"/>
        <w:rPr>
          <w:rFonts w:ascii="Arial" w:eastAsia="Arial" w:hAnsi="Arial" w:cs="Arial"/>
          <w:b/>
          <w:sz w:val="20"/>
        </w:rPr>
      </w:pPr>
    </w:p>
    <w:p w14:paraId="4EE88CA6" w14:textId="77777777" w:rsidR="0061045F" w:rsidRDefault="0061045F" w:rsidP="783BBF32">
      <w:pPr>
        <w:pageBreakBefore/>
        <w:spacing w:after="60" w:line="288" w:lineRule="auto"/>
        <w:rPr>
          <w:rFonts w:ascii="Arial" w:eastAsia="Arial" w:hAnsi="Arial" w:cs="Arial"/>
          <w:sz w:val="20"/>
          <w:szCs w:val="20"/>
        </w:rPr>
      </w:pPr>
      <w:r w:rsidRPr="783BBF32">
        <w:rPr>
          <w:rFonts w:ascii="Arial" w:eastAsia="Arial" w:hAnsi="Arial" w:cs="Arial"/>
          <w:b/>
          <w:bCs/>
          <w:color w:val="000000" w:themeColor="text1"/>
          <w:sz w:val="20"/>
          <w:szCs w:val="20"/>
        </w:rPr>
        <w:t>Summarized Quarterly Financial Results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5"/>
        <w:gridCol w:w="960"/>
        <w:gridCol w:w="960"/>
        <w:gridCol w:w="960"/>
        <w:gridCol w:w="960"/>
        <w:gridCol w:w="1005"/>
      </w:tblGrid>
      <w:tr w:rsidR="0061045F" w14:paraId="78ED8ECF"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A68A727" w14:textId="77777777" w:rsidR="0061045F" w:rsidRDefault="0061045F" w:rsidP="003931D5">
            <w:pPr>
              <w:spacing w:before="33" w:after="30"/>
              <w:ind w:left="180" w:hanging="90"/>
            </w:pPr>
            <w:r>
              <w:rPr>
                <w:rFonts w:ascii="Arial" w:eastAsia="Arial" w:hAnsi="Arial" w:cs="Arial"/>
                <w:b/>
                <w:color w:val="000000"/>
                <w:sz w:val="16"/>
              </w:rPr>
              <w:t>2024</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BE15DC2" w14:textId="77777777" w:rsidR="0061045F" w:rsidRDefault="0061045F" w:rsidP="003931D5">
            <w:pPr>
              <w:spacing w:before="33" w:after="30"/>
              <w:jc w:val="right"/>
            </w:pPr>
            <w:r>
              <w:rPr>
                <w:rFonts w:ascii="Arial" w:eastAsia="Arial" w:hAnsi="Arial" w:cs="Arial"/>
                <w:b/>
                <w:color w:val="000000"/>
                <w:sz w:val="16"/>
              </w:rPr>
              <w:t>Q1</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7FD6A61A" w14:textId="77777777" w:rsidR="0061045F" w:rsidRDefault="0061045F" w:rsidP="003931D5">
            <w:pPr>
              <w:spacing w:before="33" w:after="30"/>
              <w:jc w:val="right"/>
            </w:pPr>
            <w:r>
              <w:rPr>
                <w:rFonts w:ascii="Arial" w:eastAsia="Arial" w:hAnsi="Arial" w:cs="Arial"/>
                <w:b/>
                <w:color w:val="000000"/>
                <w:sz w:val="16"/>
              </w:rPr>
              <w:t>Q2</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8AF3059" w14:textId="77777777" w:rsidR="0061045F" w:rsidRDefault="0061045F" w:rsidP="003931D5">
            <w:pPr>
              <w:spacing w:before="33" w:after="30"/>
              <w:jc w:val="right"/>
            </w:pPr>
            <w:r>
              <w:rPr>
                <w:rFonts w:ascii="Arial" w:eastAsia="Arial" w:hAnsi="Arial" w:cs="Arial"/>
                <w:b/>
                <w:color w:val="000000"/>
                <w:sz w:val="16"/>
              </w:rPr>
              <w:t>Q3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3DEBEBE" w14:textId="77777777" w:rsidR="0061045F" w:rsidRDefault="0061045F" w:rsidP="003931D5">
            <w:pPr>
              <w:spacing w:before="33" w:after="30"/>
              <w:jc w:val="right"/>
            </w:pPr>
            <w:r>
              <w:rPr>
                <w:rFonts w:ascii="Arial" w:eastAsia="Arial" w:hAnsi="Arial" w:cs="Arial"/>
                <w:b/>
                <w:color w:val="000000"/>
                <w:sz w:val="16"/>
              </w:rPr>
              <w:t>Q4</w:t>
            </w:r>
          </w:p>
        </w:tc>
        <w:tc>
          <w:tcPr>
            <w:tcW w:w="1005" w:type="dxa"/>
            <w:tcBorders>
              <w:top w:val="single" w:sz="8" w:space="0" w:color="000000" w:themeColor="text1"/>
              <w:left w:val="single" w:sz="8" w:space="0" w:color="000000" w:themeColor="text1"/>
              <w:bottom w:val="single" w:sz="8" w:space="0" w:color="000000" w:themeColor="text1"/>
              <w:right w:val="nil"/>
            </w:tcBorders>
            <w:shd w:val="clear" w:color="auto" w:fill="ECF8F0"/>
            <w:tcMar>
              <w:top w:w="0" w:type="dxa"/>
              <w:left w:w="0" w:type="dxa"/>
              <w:bottom w:w="0" w:type="dxa"/>
              <w:right w:w="53" w:type="dxa"/>
            </w:tcMar>
            <w:vAlign w:val="bottom"/>
          </w:tcPr>
          <w:p w14:paraId="334854E4" w14:textId="77777777" w:rsidR="0061045F" w:rsidRDefault="0061045F" w:rsidP="003931D5">
            <w:pPr>
              <w:spacing w:before="33" w:after="30"/>
              <w:jc w:val="right"/>
            </w:pPr>
            <w:r>
              <w:rPr>
                <w:rFonts w:ascii="Arial" w:eastAsia="Arial" w:hAnsi="Arial" w:cs="Arial"/>
                <w:b/>
                <w:color w:val="000000"/>
                <w:sz w:val="16"/>
              </w:rPr>
              <w:t>2024</w:t>
            </w:r>
          </w:p>
        </w:tc>
      </w:tr>
      <w:tr w:rsidR="0061045F" w14:paraId="4467D5E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8C8F30" w14:textId="77777777" w:rsidR="0061045F" w:rsidRDefault="0061045F" w:rsidP="003931D5">
            <w:pPr>
              <w:spacing w:before="33" w:after="30"/>
              <w:ind w:left="135"/>
            </w:pPr>
            <w:r w:rsidRPr="783BBF32">
              <w:rPr>
                <w:rFonts w:ascii="Arial" w:eastAsia="Arial" w:hAnsi="Arial" w:cs="Arial"/>
                <w:color w:val="000000" w:themeColor="text1"/>
                <w:sz w:val="16"/>
                <w:szCs w:val="16"/>
              </w:rPr>
              <w:t xml:space="preserve">Revenue </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5E052B"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$258.0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CF92F90"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$297.1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A2AB8F"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$331.8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9C7DB7"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$435.7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B8FBD8F" w14:textId="77777777" w:rsidR="0061045F" w:rsidRDefault="0061045F" w:rsidP="003931D5">
            <w:pPr>
              <w:tabs>
                <w:tab w:val="left" w:pos="264"/>
                <w:tab w:val="left" w:pos="937"/>
              </w:tabs>
              <w:spacing w:before="33" w:after="30"/>
              <w:jc w:val="right"/>
            </w:pPr>
            <w:r>
              <w:rPr>
                <w:rFonts w:ascii="Arial" w:eastAsia="Arial" w:hAnsi="Arial" w:cs="Arial"/>
                <w:color w:val="000000"/>
                <w:sz w:val="16"/>
              </w:rPr>
              <w:tab/>
              <w:t>$1,322.6</w:t>
            </w:r>
            <w:r>
              <w:rPr>
                <w:rFonts w:ascii="Arial" w:eastAsia="Arial" w:hAnsi="Arial" w:cs="Arial"/>
                <w:color w:val="000000"/>
                <w:sz w:val="16"/>
              </w:rPr>
              <w:tab/>
            </w:r>
          </w:p>
        </w:tc>
      </w:tr>
      <w:tr w:rsidR="0061045F" w14:paraId="05CCA48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E85557B"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Gold produced (oz) </w:t>
            </w:r>
            <w:r w:rsidRPr="783BBF32">
              <w:rPr>
                <w:rFonts w:ascii="Arial" w:eastAsia="Arial" w:hAnsi="Arial" w:cs="Arial"/>
                <w:sz w:val="16"/>
                <w:szCs w:val="16"/>
                <w:vertAlign w:val="superscript"/>
              </w:rPr>
              <w:t>(6)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2D3EB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117,111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CC46C1"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122,319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C32424"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125,195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4E6499"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155,668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4763499"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r>
      <w:tr w:rsidR="0061045F" w14:paraId="04FE6C6B"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6D0ABCF" w14:textId="77777777" w:rsidR="0061045F" w:rsidRDefault="0061045F" w:rsidP="003931D5">
            <w:pPr>
              <w:spacing w:before="33" w:after="30"/>
              <w:ind w:left="135"/>
            </w:pPr>
            <w:r w:rsidRPr="783BBF32">
              <w:rPr>
                <w:rFonts w:ascii="Arial" w:eastAsia="Arial" w:hAnsi="Arial" w:cs="Arial"/>
                <w:color w:val="000000" w:themeColor="text1"/>
                <w:sz w:val="16"/>
                <w:szCs w:val="16"/>
              </w:rPr>
              <w:t>Gold sold (oz)</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E5BD2B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116,008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3B0220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121,226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174FED"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123,828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61EC98"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156,864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BBE7794"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r>
      <w:tr w:rsidR="0061045F" w14:paraId="7119245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F91FDE5"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EC5F670" w14:textId="77777777" w:rsidR="0061045F" w:rsidRDefault="0061045F" w:rsidP="003931D5">
            <w:pPr>
              <w:tabs>
                <w:tab w:val="left" w:pos="352"/>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$2,086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B8BDBA9"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$2,336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76CC58"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$2,492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B8A1FA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$2,625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CED9279" w14:textId="77777777" w:rsidR="0061045F" w:rsidRDefault="0061045F" w:rsidP="003931D5">
            <w:pPr>
              <w:tabs>
                <w:tab w:val="left" w:pos="397"/>
                <w:tab w:val="left" w:pos="937"/>
              </w:tabs>
              <w:spacing w:before="33" w:after="30"/>
              <w:jc w:val="right"/>
            </w:pPr>
            <w:r>
              <w:rPr>
                <w:rFonts w:ascii="Arial" w:eastAsia="Arial" w:hAnsi="Arial" w:cs="Arial"/>
                <w:color w:val="000000"/>
                <w:sz w:val="16"/>
              </w:rPr>
              <w:tab/>
              <w:t>$2,405</w:t>
            </w:r>
            <w:r>
              <w:rPr>
                <w:rFonts w:ascii="Arial" w:eastAsia="Arial" w:hAnsi="Arial" w:cs="Arial"/>
                <w:color w:val="000000"/>
                <w:sz w:val="16"/>
              </w:rPr>
              <w:tab/>
            </w:r>
          </w:p>
        </w:tc>
      </w:tr>
      <w:tr w:rsidR="0061045F" w14:paraId="56DF0E3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C950017"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B31596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3ED527"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127.8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83F6C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141.2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99E562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172.1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A5C02AB"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r>
      <w:tr w:rsidR="0061045F" w14:paraId="756BE96A"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630773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cost  ($/oz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5A7E21" w14:textId="77777777" w:rsidR="0061045F" w:rsidRDefault="0061045F" w:rsidP="003931D5">
            <w:pPr>
              <w:tabs>
                <w:tab w:val="left" w:pos="574"/>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A58936"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8DB28F"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07FEE6"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944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7CAAD6C" w14:textId="77777777" w:rsidR="0061045F" w:rsidRDefault="0061045F" w:rsidP="003931D5">
            <w:pPr>
              <w:tabs>
                <w:tab w:val="left" w:pos="619"/>
                <w:tab w:val="left" w:pos="937"/>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r>
      <w:tr w:rsidR="0061045F" w14:paraId="1DA67FD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7E677E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All-in sustaining cost ($/oz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F929E13"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1,262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C731D7"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1,331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2CFF78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57912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1,226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D68EF05"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1,285</w:t>
            </w:r>
            <w:r>
              <w:rPr>
                <w:rFonts w:ascii="Arial" w:eastAsia="Arial" w:hAnsi="Arial" w:cs="Arial"/>
                <w:color w:val="000000"/>
                <w:sz w:val="16"/>
              </w:rPr>
              <w:tab/>
            </w:r>
          </w:p>
        </w:tc>
      </w:tr>
      <w:tr w:rsidR="0061045F" w14:paraId="6FCBDB93"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7831999"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Net earnings </w:t>
            </w:r>
            <w:r w:rsidRPr="783BBF32">
              <w:rPr>
                <w:rFonts w:ascii="Arial" w:eastAsia="Arial" w:hAnsi="Arial" w:cs="Arial"/>
                <w:sz w:val="16"/>
                <w:szCs w:val="16"/>
                <w:vertAlign w:val="superscript"/>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79C8C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33.6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18CEC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55.5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C1FA5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95.0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ACD495"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1644C32"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289.1</w:t>
            </w:r>
            <w:r>
              <w:rPr>
                <w:rFonts w:ascii="Arial" w:eastAsia="Arial" w:hAnsi="Arial" w:cs="Arial"/>
                <w:color w:val="000000"/>
                <w:sz w:val="16"/>
              </w:rPr>
              <w:tab/>
            </w:r>
          </w:p>
        </w:tc>
      </w:tr>
      <w:tr w:rsidR="0061045F" w14:paraId="102222E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B38631"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 basic ($/share) </w:t>
            </w:r>
            <w:r w:rsidRPr="00BF725B">
              <w:rPr>
                <w:rFonts w:ascii="Arial" w:eastAsia="Arial" w:hAnsi="Arial" w:cs="Arial"/>
                <w:sz w:val="16"/>
                <w:vertAlign w:val="superscript"/>
                <w:lang w:val="en-US"/>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30064D"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16EA59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D3881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A18CC51"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4634A32"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1.42</w:t>
            </w:r>
            <w:r>
              <w:rPr>
                <w:rFonts w:ascii="Arial" w:eastAsia="Arial" w:hAnsi="Arial" w:cs="Arial"/>
                <w:color w:val="000000"/>
                <w:sz w:val="16"/>
              </w:rPr>
              <w:tab/>
            </w:r>
          </w:p>
        </w:tc>
      </w:tr>
      <w:tr w:rsidR="0061045F" w14:paraId="174EF1EB"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A2B1DF"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 diluted ($/share) </w:t>
            </w:r>
            <w:r w:rsidRPr="00BF725B">
              <w:rPr>
                <w:rFonts w:ascii="Arial" w:eastAsia="Arial" w:hAnsi="Arial" w:cs="Arial"/>
                <w:sz w:val="16"/>
                <w:vertAlign w:val="superscript"/>
                <w:lang w:val="en-US"/>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8E6E55"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2BA72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B8F2DC"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249E4C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7D952EB"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1.41</w:t>
            </w:r>
            <w:r>
              <w:rPr>
                <w:rFonts w:ascii="Arial" w:eastAsia="Arial" w:hAnsi="Arial" w:cs="Arial"/>
                <w:color w:val="000000"/>
                <w:sz w:val="16"/>
              </w:rPr>
              <w:tab/>
            </w:r>
          </w:p>
        </w:tc>
      </w:tr>
      <w:tr w:rsidR="0061045F" w14:paraId="52168E5C"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AA3881B"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for the period continuing operations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A95570"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35.2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3F9D8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56.4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08B16F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FDC4AC"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108.2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C6ECF61"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300.9</w:t>
            </w:r>
            <w:r>
              <w:rPr>
                <w:rFonts w:ascii="Arial" w:eastAsia="Arial" w:hAnsi="Arial" w:cs="Arial"/>
                <w:color w:val="000000"/>
                <w:sz w:val="16"/>
              </w:rPr>
              <w:tab/>
            </w:r>
          </w:p>
        </w:tc>
      </w:tr>
      <w:tr w:rsidR="0061045F" w14:paraId="1C18662C"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6603C42"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continuing operations – basic ($/share)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F48BD6"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A5851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F03A1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F18A0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B490A2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1.48</w:t>
            </w:r>
            <w:r>
              <w:rPr>
                <w:rFonts w:ascii="Arial" w:eastAsia="Arial" w:hAnsi="Arial" w:cs="Arial"/>
                <w:color w:val="000000"/>
                <w:sz w:val="16"/>
              </w:rPr>
              <w:tab/>
            </w:r>
          </w:p>
        </w:tc>
      </w:tr>
      <w:tr w:rsidR="0061045F" w14:paraId="0A1F9569"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F146931"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continuing operations – diluted ($/share)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147A61"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5A7C59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052F58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A35D6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B42BB7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1.46</w:t>
            </w:r>
            <w:r>
              <w:rPr>
                <w:rFonts w:ascii="Arial" w:eastAsia="Arial" w:hAnsi="Arial" w:cs="Arial"/>
                <w:color w:val="000000"/>
                <w:sz w:val="16"/>
              </w:rPr>
              <w:tab/>
            </w:r>
          </w:p>
        </w:tc>
      </w:tr>
      <w:tr w:rsidR="0061045F" w14:paraId="7A9D24C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8B39F4E"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w:t>
            </w:r>
            <w:r w:rsidRPr="00BF725B">
              <w:rPr>
                <w:rFonts w:ascii="Arial" w:eastAsia="Arial" w:hAnsi="Arial" w:cs="Arial"/>
                <w:sz w:val="16"/>
                <w:vertAlign w:val="superscript"/>
                <w:lang w:val="en-US"/>
              </w:rPr>
              <w:t>(1,2,4)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F35C17"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55.2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208F7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66.6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82B6E31"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2F119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127.8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9C37646"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320.7</w:t>
            </w:r>
            <w:r>
              <w:rPr>
                <w:rFonts w:ascii="Arial" w:eastAsia="Arial" w:hAnsi="Arial" w:cs="Arial"/>
                <w:color w:val="000000"/>
                <w:sz w:val="16"/>
              </w:rPr>
              <w:tab/>
            </w:r>
          </w:p>
        </w:tc>
      </w:tr>
      <w:tr w:rsidR="0061045F" w14:paraId="65339BE1" w14:textId="77777777" w:rsidTr="783BBF32">
        <w:trPr>
          <w:cantSplit/>
          <w:trHeight w:hRule="exact" w:val="42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9990630"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Adjusted net earnings per share continuing operations - basic </w:t>
            </w:r>
          </w:p>
          <w:p w14:paraId="7E8F5140" w14:textId="77777777" w:rsidR="0061045F" w:rsidRDefault="0061045F" w:rsidP="783BBF32">
            <w:pPr>
              <w:spacing w:after="30"/>
              <w:ind w:left="135"/>
              <w:rPr>
                <w:rFonts w:ascii="Arial" w:eastAsia="Arial" w:hAnsi="Arial" w:cs="Arial"/>
                <w:sz w:val="16"/>
                <w:szCs w:val="16"/>
              </w:rPr>
            </w:pPr>
            <w:r w:rsidRPr="783BBF32">
              <w:rPr>
                <w:rFonts w:ascii="Arial" w:eastAsia="Arial" w:hAnsi="Arial" w:cs="Arial"/>
                <w:sz w:val="16"/>
                <w:szCs w:val="16"/>
              </w:rPr>
              <w:t>($/share)</w:t>
            </w:r>
            <w:r w:rsidRPr="783BBF32">
              <w:rPr>
                <w:rFonts w:ascii="Arial" w:eastAsia="Arial" w:hAnsi="Arial" w:cs="Arial"/>
                <w:sz w:val="16"/>
                <w:szCs w:val="16"/>
                <w:vertAlign w:val="superscript"/>
              </w:rPr>
              <w:t xml:space="preserve"> (1,2,4)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B2D012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922D93"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0.33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EB5CA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4D92D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0.62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506E95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1.57</w:t>
            </w:r>
            <w:r>
              <w:rPr>
                <w:rFonts w:ascii="Arial" w:eastAsia="Arial" w:hAnsi="Arial" w:cs="Arial"/>
                <w:color w:val="000000"/>
                <w:sz w:val="16"/>
              </w:rPr>
              <w:tab/>
            </w:r>
          </w:p>
        </w:tc>
      </w:tr>
      <w:tr w:rsidR="0061045F" w14:paraId="7D8E081F"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7EFF3B0"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cash generated from operating activities </w:t>
            </w:r>
            <w:r w:rsidRPr="00BF725B">
              <w:rPr>
                <w:rFonts w:ascii="Arial" w:eastAsia="Arial" w:hAnsi="Arial" w:cs="Arial"/>
                <w:sz w:val="16"/>
                <w:vertAlign w:val="superscript"/>
                <w:lang w:val="en-US"/>
              </w:rPr>
              <w:t>(1)</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645E76"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889F3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50223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180.9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3CBAB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257.3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5D31309"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645.7</w:t>
            </w:r>
            <w:r>
              <w:rPr>
                <w:rFonts w:ascii="Arial" w:eastAsia="Arial" w:hAnsi="Arial" w:cs="Arial"/>
                <w:color w:val="000000"/>
                <w:sz w:val="16"/>
              </w:rPr>
              <w:tab/>
            </w:r>
          </w:p>
        </w:tc>
      </w:tr>
      <w:tr w:rsidR="0061045F" w14:paraId="4359FE7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DA94E2"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Cash flow from operating activities before changes in working capital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8E733F"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108.3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BE82D3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51BCEE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166.5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DE578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228.5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AD0B26E"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635.5</w:t>
            </w:r>
            <w:r>
              <w:rPr>
                <w:rFonts w:ascii="Arial" w:eastAsia="Arial" w:hAnsi="Arial" w:cs="Arial"/>
                <w:color w:val="000000"/>
                <w:sz w:val="16"/>
              </w:rPr>
              <w:tab/>
            </w:r>
          </w:p>
        </w:tc>
      </w:tr>
      <w:tr w:rsidR="0061045F" w14:paraId="214BFAD9"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E836F78"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Free cash flow </w:t>
            </w:r>
            <w:r w:rsidRPr="783BBF32">
              <w:rPr>
                <w:rFonts w:ascii="Arial" w:eastAsia="Arial" w:hAnsi="Arial" w:cs="Arial"/>
                <w:sz w:val="16"/>
                <w:szCs w:val="16"/>
                <w:vertAlign w:val="superscript"/>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584BCD" w14:textId="77777777" w:rsidR="0061045F" w:rsidRDefault="0061045F" w:rsidP="003931D5">
            <w:pPr>
              <w:tabs>
                <w:tab w:val="left" w:pos="477"/>
              </w:tabs>
              <w:spacing w:before="33" w:after="30"/>
              <w:jc w:val="right"/>
            </w:pPr>
            <w:r>
              <w:rPr>
                <w:rFonts w:ascii="Arial" w:eastAsia="Arial" w:hAnsi="Arial" w:cs="Arial"/>
                <w:color w:val="000000"/>
                <w:sz w:val="16"/>
              </w:rPr>
              <w:tab/>
              <w:t>(30.9)</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60BF08" w14:textId="77777777" w:rsidR="0061045F" w:rsidRDefault="0061045F" w:rsidP="003931D5">
            <w:pPr>
              <w:tabs>
                <w:tab w:val="left" w:pos="477"/>
              </w:tabs>
              <w:spacing w:before="33" w:after="30"/>
              <w:jc w:val="right"/>
            </w:pPr>
            <w:r>
              <w:rPr>
                <w:rFonts w:ascii="Arial" w:eastAsia="Arial" w:hAnsi="Arial" w:cs="Arial"/>
                <w:color w:val="000000"/>
                <w:sz w:val="16"/>
              </w:rPr>
              <w:tab/>
              <w:t>(32.0)</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8D5B49" w14:textId="77777777" w:rsidR="0061045F" w:rsidRDefault="0061045F" w:rsidP="003931D5">
            <w:pPr>
              <w:tabs>
                <w:tab w:val="left" w:pos="565"/>
              </w:tabs>
              <w:spacing w:before="33" w:after="30"/>
              <w:jc w:val="right"/>
            </w:pPr>
            <w:r>
              <w:rPr>
                <w:rFonts w:ascii="Arial" w:eastAsia="Arial" w:hAnsi="Arial" w:cs="Arial"/>
                <w:color w:val="000000"/>
                <w:sz w:val="16"/>
              </w:rPr>
              <w:tab/>
              <w:t>(4.8)</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0F4075E"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74.6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CCB60C2" w14:textId="77777777" w:rsidR="0061045F" w:rsidRDefault="0061045F" w:rsidP="003931D5">
            <w:pPr>
              <w:tabs>
                <w:tab w:val="left" w:pos="664"/>
                <w:tab w:val="left" w:pos="937"/>
              </w:tabs>
              <w:spacing w:before="33" w:after="30"/>
              <w:jc w:val="right"/>
            </w:pPr>
            <w:r>
              <w:rPr>
                <w:rFonts w:ascii="Arial" w:eastAsia="Arial" w:hAnsi="Arial" w:cs="Arial"/>
                <w:color w:val="000000"/>
                <w:sz w:val="16"/>
              </w:rPr>
              <w:tab/>
              <w:t>6.8</w:t>
            </w:r>
            <w:r>
              <w:rPr>
                <w:rFonts w:ascii="Arial" w:eastAsia="Arial" w:hAnsi="Arial" w:cs="Arial"/>
                <w:color w:val="000000"/>
                <w:sz w:val="16"/>
              </w:rPr>
              <w:tab/>
            </w:r>
          </w:p>
        </w:tc>
      </w:tr>
      <w:tr w:rsidR="0061045F" w14:paraId="4049673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E320C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6DA392"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33.7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290F3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33.9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3AE3CA"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98.3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41988B"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176.2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A85F65F"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342.0</w:t>
            </w:r>
            <w:r>
              <w:rPr>
                <w:rFonts w:ascii="Arial" w:eastAsia="Arial" w:hAnsi="Arial" w:cs="Arial"/>
                <w:color w:val="000000"/>
                <w:sz w:val="16"/>
              </w:rPr>
              <w:tab/>
            </w:r>
          </w:p>
        </w:tc>
      </w:tr>
      <w:tr w:rsidR="0061045F" w14:paraId="12274940"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B0A68FF"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Cash and cash equivalents</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6AF6AC"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514.7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85FDDF"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595.1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69489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676.6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1307B3"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91B2A02"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r>
      <w:tr w:rsidR="0061045F" w14:paraId="78F68696" w14:textId="77777777" w:rsidTr="783BBF32">
        <w:trPr>
          <w:cantSplit/>
          <w:trHeight w:hRule="exact" w:val="28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31CA69"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Total assets</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92ECD6C"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5,065.5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8B99AE"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5,280.6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935BFC"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5,565.1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3CC018"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AA221C6" w14:textId="77777777" w:rsidR="0061045F" w:rsidRDefault="0061045F" w:rsidP="003931D5">
            <w:pPr>
              <w:tabs>
                <w:tab w:val="left" w:pos="353"/>
                <w:tab w:val="left" w:pos="937"/>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r>
      <w:tr w:rsidR="0061045F" w14:paraId="72CFD270" w14:textId="77777777" w:rsidTr="783BBF32">
        <w:trPr>
          <w:cantSplit/>
          <w:trHeight w:hRule="exact" w:val="28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4962AA5"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Debt</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EEC30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643.8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BD8BA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748.0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3A3A63E"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849.2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2D55E4"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E44DC9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r>
      <w:tr w:rsidR="0061045F" w14:paraId="42B1DF6E" w14:textId="77777777" w:rsidTr="783BBF32">
        <w:trPr>
          <w:cantSplit/>
          <w:trHeight w:hRule="exact" w:val="165"/>
        </w:trPr>
        <w:tc>
          <w:tcPr>
            <w:tcW w:w="5505" w:type="dxa"/>
            <w:tcBorders>
              <w:top w:val="single" w:sz="8" w:space="0" w:color="000000" w:themeColor="text1"/>
              <w:left w:val="nil"/>
              <w:bottom w:val="single" w:sz="8" w:space="0" w:color="000000" w:themeColor="text1"/>
              <w:right w:val="nil"/>
            </w:tcBorders>
            <w:shd w:val="clear" w:color="auto" w:fill="FFFFFF" w:themeFill="background1"/>
            <w:tcMar>
              <w:top w:w="0" w:type="dxa"/>
              <w:left w:w="53" w:type="dxa"/>
              <w:bottom w:w="0" w:type="dxa"/>
              <w:right w:w="53" w:type="dxa"/>
            </w:tcMar>
            <w:vAlign w:val="bottom"/>
          </w:tcPr>
          <w:p w14:paraId="29C9125E" w14:textId="77777777" w:rsidR="0061045F" w:rsidRDefault="0061045F" w:rsidP="003931D5">
            <w:pPr>
              <w:spacing w:before="33" w:after="30"/>
              <w:ind w:left="225" w:hanging="90"/>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21D26768"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1FD5D0A8"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68B288A2"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24309342" w14:textId="77777777" w:rsidR="0061045F" w:rsidRDefault="0061045F" w:rsidP="003931D5">
            <w:pPr>
              <w:spacing w:before="33" w:after="30"/>
              <w:jc w:val="right"/>
            </w:pPr>
          </w:p>
        </w:tc>
        <w:tc>
          <w:tcPr>
            <w:tcW w:w="1005"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768E0DBC" w14:textId="77777777" w:rsidR="0061045F" w:rsidRDefault="0061045F" w:rsidP="003931D5">
            <w:pPr>
              <w:spacing w:before="33" w:after="30"/>
              <w:jc w:val="right"/>
            </w:pPr>
          </w:p>
        </w:tc>
      </w:tr>
      <w:tr w:rsidR="0061045F" w14:paraId="2E8E4A7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D55BCC" w14:textId="77777777" w:rsidR="0061045F" w:rsidRDefault="0061045F" w:rsidP="003931D5">
            <w:pPr>
              <w:spacing w:before="33" w:after="30"/>
              <w:ind w:left="180" w:hanging="90"/>
            </w:pPr>
            <w:r>
              <w:rPr>
                <w:rFonts w:ascii="Arial" w:eastAsia="Arial" w:hAnsi="Arial" w:cs="Arial"/>
                <w:b/>
                <w:color w:val="000000"/>
                <w:sz w:val="16"/>
              </w:rPr>
              <w:t>2023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02F7CF8" w14:textId="77777777" w:rsidR="0061045F" w:rsidRDefault="0061045F" w:rsidP="003931D5">
            <w:pPr>
              <w:spacing w:before="33" w:after="30"/>
              <w:jc w:val="right"/>
            </w:pPr>
            <w:r>
              <w:rPr>
                <w:rFonts w:ascii="Arial" w:eastAsia="Arial" w:hAnsi="Arial" w:cs="Arial"/>
                <w:b/>
                <w:color w:val="000000"/>
                <w:sz w:val="16"/>
              </w:rPr>
              <w:t>Q1</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18DA2A76" w14:textId="77777777" w:rsidR="0061045F" w:rsidRDefault="0061045F" w:rsidP="003931D5">
            <w:pPr>
              <w:spacing w:before="33" w:after="30"/>
              <w:jc w:val="right"/>
            </w:pPr>
            <w:r>
              <w:rPr>
                <w:rFonts w:ascii="Arial" w:eastAsia="Arial" w:hAnsi="Arial" w:cs="Arial"/>
                <w:b/>
                <w:color w:val="000000"/>
                <w:sz w:val="16"/>
              </w:rPr>
              <w:t>Q2</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049BA7B8" w14:textId="77777777" w:rsidR="0061045F" w:rsidRDefault="0061045F" w:rsidP="003931D5">
            <w:pPr>
              <w:spacing w:before="33" w:after="30"/>
              <w:jc w:val="right"/>
            </w:pPr>
            <w:r>
              <w:rPr>
                <w:rFonts w:ascii="Arial" w:eastAsia="Arial" w:hAnsi="Arial" w:cs="Arial"/>
                <w:b/>
                <w:color w:val="000000"/>
                <w:sz w:val="16"/>
              </w:rPr>
              <w:t>Q3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27DEFD2" w14:textId="77777777" w:rsidR="0061045F" w:rsidRDefault="0061045F" w:rsidP="003931D5">
            <w:pPr>
              <w:spacing w:before="33" w:after="30"/>
              <w:jc w:val="right"/>
            </w:pPr>
            <w:r>
              <w:rPr>
                <w:rFonts w:ascii="Arial" w:eastAsia="Arial" w:hAnsi="Arial" w:cs="Arial"/>
                <w:b/>
                <w:color w:val="000000"/>
                <w:sz w:val="16"/>
              </w:rPr>
              <w:t>Q4</w:t>
            </w:r>
          </w:p>
        </w:tc>
        <w:tc>
          <w:tcPr>
            <w:tcW w:w="1005" w:type="dxa"/>
            <w:tcBorders>
              <w:top w:val="single" w:sz="8" w:space="0" w:color="000000" w:themeColor="text1"/>
              <w:left w:val="single" w:sz="8" w:space="0" w:color="000000" w:themeColor="text1"/>
              <w:bottom w:val="single" w:sz="8" w:space="0" w:color="000000" w:themeColor="text1"/>
              <w:right w:val="nil"/>
            </w:tcBorders>
            <w:shd w:val="clear" w:color="auto" w:fill="ECF8F0"/>
            <w:tcMar>
              <w:top w:w="0" w:type="dxa"/>
              <w:left w:w="0" w:type="dxa"/>
              <w:bottom w:w="0" w:type="dxa"/>
              <w:right w:w="53" w:type="dxa"/>
            </w:tcMar>
            <w:vAlign w:val="bottom"/>
          </w:tcPr>
          <w:p w14:paraId="14662B0D" w14:textId="77777777" w:rsidR="0061045F" w:rsidRDefault="0061045F" w:rsidP="003931D5">
            <w:pPr>
              <w:spacing w:before="33" w:after="30"/>
              <w:jc w:val="right"/>
            </w:pPr>
            <w:r>
              <w:rPr>
                <w:rFonts w:ascii="Arial" w:eastAsia="Arial" w:hAnsi="Arial" w:cs="Arial"/>
                <w:b/>
                <w:color w:val="000000"/>
                <w:sz w:val="16"/>
              </w:rPr>
              <w:t>2023</w:t>
            </w:r>
          </w:p>
        </w:tc>
      </w:tr>
      <w:tr w:rsidR="0061045F" w14:paraId="5DBFE03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3CABE26"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Revenue </w:t>
            </w:r>
            <w:r w:rsidRPr="783BBF32">
              <w:rPr>
                <w:rFonts w:ascii="Arial" w:eastAsia="Arial" w:hAnsi="Arial" w:cs="Arial"/>
                <w:sz w:val="16"/>
                <w:szCs w:val="16"/>
                <w:vertAlign w:val="superscript"/>
              </w:rPr>
              <w:t>(6)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ED7D44"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$227.8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EB5BC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$229.0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2D362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$244.8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83C4AC"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$306.9</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F1CC50B" w14:textId="77777777" w:rsidR="0061045F" w:rsidRDefault="0061045F" w:rsidP="003931D5">
            <w:pPr>
              <w:tabs>
                <w:tab w:val="left" w:pos="264"/>
                <w:tab w:val="left" w:pos="937"/>
              </w:tabs>
              <w:spacing w:before="33" w:after="30"/>
              <w:jc w:val="right"/>
            </w:pPr>
            <w:r>
              <w:rPr>
                <w:rFonts w:ascii="Arial" w:eastAsia="Arial" w:hAnsi="Arial" w:cs="Arial"/>
                <w:color w:val="000000"/>
                <w:sz w:val="16"/>
              </w:rPr>
              <w:tab/>
              <w:t>$1,008.5</w:t>
            </w:r>
            <w:r>
              <w:rPr>
                <w:rFonts w:ascii="Arial" w:eastAsia="Arial" w:hAnsi="Arial" w:cs="Arial"/>
                <w:color w:val="000000"/>
                <w:sz w:val="16"/>
              </w:rPr>
              <w:tab/>
            </w:r>
          </w:p>
        </w:tc>
      </w:tr>
      <w:tr w:rsidR="0061045F" w14:paraId="3972862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092759"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Gold produced (oz) </w:t>
            </w:r>
            <w:r w:rsidRPr="783BBF32">
              <w:rPr>
                <w:rFonts w:ascii="Arial" w:eastAsia="Arial" w:hAnsi="Arial" w:cs="Arial"/>
                <w:sz w:val="16"/>
                <w:szCs w:val="16"/>
                <w:vertAlign w:val="superscript"/>
              </w:rPr>
              <w:t>(5)</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374FDB"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111,509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FF6C2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109,435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E62902"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121,030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BFF4B6"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143,166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F1BD2CC"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r>
      <w:tr w:rsidR="0061045F" w14:paraId="508EF9C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9910F75" w14:textId="77777777" w:rsidR="0061045F" w:rsidRDefault="0061045F" w:rsidP="003931D5">
            <w:pPr>
              <w:spacing w:before="33" w:after="30"/>
              <w:ind w:left="135"/>
            </w:pPr>
            <w:r w:rsidRPr="783BBF32">
              <w:rPr>
                <w:rFonts w:ascii="Arial" w:eastAsia="Arial" w:hAnsi="Arial" w:cs="Arial"/>
                <w:color w:val="000000" w:themeColor="text1"/>
                <w:sz w:val="16"/>
                <w:szCs w:val="16"/>
              </w:rPr>
              <w:t>Gold sold (oz)</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0AE96C"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109,817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6A9C00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110,134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939C18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119,200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2868E"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144,827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CB0AAA2"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r>
      <w:tr w:rsidR="0061045F" w14:paraId="090E316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810CA3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2A7D0A" w14:textId="77777777" w:rsidR="0061045F" w:rsidRDefault="0061045F" w:rsidP="003931D5">
            <w:pPr>
              <w:tabs>
                <w:tab w:val="left" w:pos="352"/>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$1,932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0BD967"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A0060F"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$1,879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15256D"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$1,999</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1496E02" w14:textId="77777777" w:rsidR="0061045F" w:rsidRDefault="0061045F" w:rsidP="003931D5">
            <w:pPr>
              <w:tabs>
                <w:tab w:val="left" w:pos="397"/>
                <w:tab w:val="left" w:pos="937"/>
              </w:tabs>
              <w:spacing w:before="33" w:after="30"/>
              <w:jc w:val="right"/>
            </w:pPr>
            <w:r>
              <w:rPr>
                <w:rFonts w:ascii="Arial" w:eastAsia="Arial" w:hAnsi="Arial" w:cs="Arial"/>
                <w:color w:val="000000"/>
                <w:sz w:val="16"/>
              </w:rPr>
              <w:tab/>
              <w:t>$1,944</w:t>
            </w:r>
            <w:r>
              <w:rPr>
                <w:rFonts w:ascii="Arial" w:eastAsia="Arial" w:hAnsi="Arial" w:cs="Arial"/>
                <w:color w:val="000000"/>
                <w:sz w:val="16"/>
              </w:rPr>
              <w:tab/>
            </w:r>
          </w:p>
        </w:tc>
      </w:tr>
      <w:tr w:rsidR="0061045F" w14:paraId="4C97CFE1"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089D466"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Production costs </w:t>
            </w:r>
            <w:r w:rsidRPr="783BBF32">
              <w:rPr>
                <w:rFonts w:ascii="Arial" w:eastAsia="Arial" w:hAnsi="Arial" w:cs="Arial"/>
                <w:sz w:val="16"/>
                <w:szCs w:val="16"/>
                <w:vertAlign w:val="superscript"/>
              </w:rPr>
              <w:t>(5,6)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A60553"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109.7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272AC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116.1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A1E41F"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B9579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137.6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962565B"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r>
      <w:tr w:rsidR="0061045F" w14:paraId="5F8B0DA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70EB71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cost  ($/oz sold) </w:t>
            </w:r>
            <w:r w:rsidRPr="00BF725B">
              <w:rPr>
                <w:rFonts w:ascii="Arial" w:eastAsia="Arial" w:hAnsi="Arial" w:cs="Arial"/>
                <w:sz w:val="16"/>
                <w:vertAlign w:val="superscript"/>
                <w:lang w:val="en-US"/>
              </w:rPr>
              <w:t>(2,3,6)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A92CAB8" w14:textId="77777777" w:rsidR="0061045F" w:rsidRDefault="0061045F" w:rsidP="003931D5">
            <w:pPr>
              <w:tabs>
                <w:tab w:val="left" w:pos="574"/>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857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77B4E8"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640DBC"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794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46FBCE4"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830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DAE3744" w14:textId="77777777" w:rsidR="0061045F" w:rsidRDefault="0061045F" w:rsidP="003931D5">
            <w:pPr>
              <w:tabs>
                <w:tab w:val="left" w:pos="619"/>
                <w:tab w:val="left" w:pos="937"/>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r>
      <w:tr w:rsidR="0061045F" w14:paraId="50CB520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496E933"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All-in sustaining cost ($/oz sold) </w:t>
            </w:r>
            <w:r w:rsidRPr="00BF725B">
              <w:rPr>
                <w:rFonts w:ascii="Arial" w:eastAsia="Arial" w:hAnsi="Arial" w:cs="Arial"/>
                <w:sz w:val="16"/>
                <w:vertAlign w:val="superscript"/>
                <w:lang w:val="en-US"/>
              </w:rPr>
              <w:t>(2,3,6)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7D3233"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1,207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FBC54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1,296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CC7DE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1,177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06CE79"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1,207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A2BE3B5"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r>
      <w:tr w:rsidR="0061045F" w14:paraId="456978F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3167DA8"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Net (loss) earnings </w:t>
            </w:r>
            <w:r w:rsidRPr="783BBF32">
              <w:rPr>
                <w:rFonts w:ascii="Arial" w:eastAsia="Arial" w:hAnsi="Arial" w:cs="Arial"/>
                <w:sz w:val="16"/>
                <w:szCs w:val="16"/>
                <w:vertAlign w:val="superscript"/>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DF68D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19.3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5C55BD8"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61243D" w14:textId="77777777" w:rsidR="0061045F" w:rsidRDefault="0061045F" w:rsidP="003931D5">
            <w:pPr>
              <w:tabs>
                <w:tab w:val="left" w:pos="545"/>
              </w:tabs>
              <w:spacing w:before="33" w:after="30"/>
              <w:jc w:val="right"/>
            </w:pPr>
            <w:r>
              <w:rPr>
                <w:rFonts w:ascii="Arial" w:eastAsia="Arial" w:hAnsi="Arial" w:cs="Arial"/>
                <w:color w:val="000000"/>
                <w:sz w:val="16"/>
              </w:rPr>
              <w:tab/>
              <w:t>(8.0)</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B82FE5"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92.4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1124838"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104.6</w:t>
            </w:r>
            <w:r>
              <w:rPr>
                <w:rFonts w:ascii="Arial" w:eastAsia="Arial" w:hAnsi="Arial" w:cs="Arial"/>
                <w:color w:val="000000"/>
                <w:sz w:val="16"/>
              </w:rPr>
              <w:tab/>
            </w:r>
          </w:p>
        </w:tc>
      </w:tr>
      <w:tr w:rsidR="0061045F" w14:paraId="4C4EABE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536A4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per share – basic ($/share) </w:t>
            </w:r>
            <w:r w:rsidRPr="00BF725B">
              <w:rPr>
                <w:rFonts w:ascii="Arial" w:eastAsia="Arial" w:hAnsi="Arial" w:cs="Arial"/>
                <w:sz w:val="16"/>
                <w:vertAlign w:val="superscript"/>
                <w:lang w:val="en-US"/>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214D55"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A0956A" w14:textId="77777777" w:rsidR="0061045F" w:rsidRDefault="0061045F" w:rsidP="003931D5">
            <w:pPr>
              <w:tabs>
                <w:tab w:val="left" w:pos="681"/>
                <w:tab w:val="left" w:pos="892"/>
              </w:tabs>
              <w:spacing w:before="33" w:after="30"/>
              <w:jc w:val="right"/>
            </w:pPr>
            <w:r>
              <w:rPr>
                <w:rFonts w:ascii="Arial" w:eastAsia="Arial" w:hAnsi="Arial" w:cs="Arial"/>
                <w:color w:val="000000"/>
                <w:sz w:val="16"/>
              </w:rPr>
              <w:tab/>
              <w:t>—</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90CDC2" w14:textId="77777777" w:rsidR="0061045F" w:rsidRDefault="0061045F" w:rsidP="003931D5">
            <w:pPr>
              <w:tabs>
                <w:tab w:val="left" w:pos="457"/>
              </w:tabs>
              <w:spacing w:before="33" w:after="30"/>
              <w:jc w:val="right"/>
            </w:pPr>
            <w:r>
              <w:rPr>
                <w:rFonts w:ascii="Arial" w:eastAsia="Arial" w:hAnsi="Arial" w:cs="Arial"/>
                <w:color w:val="000000"/>
                <w:sz w:val="16"/>
              </w:rPr>
              <w:tab/>
              <w:t>(0.04)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328BE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C2E03A5"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6F49709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125AA64"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per share – diluted ($/share) </w:t>
            </w:r>
            <w:r w:rsidRPr="00BF725B">
              <w:rPr>
                <w:rFonts w:ascii="Arial" w:eastAsia="Arial" w:hAnsi="Arial" w:cs="Arial"/>
                <w:sz w:val="16"/>
                <w:vertAlign w:val="superscript"/>
                <w:lang w:val="en-US"/>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06804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73848D" w14:textId="77777777" w:rsidR="0061045F" w:rsidRDefault="0061045F" w:rsidP="003931D5">
            <w:pPr>
              <w:tabs>
                <w:tab w:val="left" w:pos="681"/>
                <w:tab w:val="left" w:pos="892"/>
              </w:tabs>
              <w:spacing w:before="33" w:after="30"/>
              <w:jc w:val="right"/>
            </w:pPr>
            <w:r>
              <w:rPr>
                <w:rFonts w:ascii="Arial" w:eastAsia="Arial" w:hAnsi="Arial" w:cs="Arial"/>
                <w:color w:val="000000"/>
                <w:sz w:val="16"/>
              </w:rPr>
              <w:tab/>
              <w:t>—</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B0DE03" w14:textId="77777777" w:rsidR="0061045F" w:rsidRDefault="0061045F" w:rsidP="003931D5">
            <w:pPr>
              <w:tabs>
                <w:tab w:val="left" w:pos="457"/>
              </w:tabs>
              <w:spacing w:before="33" w:after="30"/>
              <w:jc w:val="right"/>
            </w:pPr>
            <w:r>
              <w:rPr>
                <w:rFonts w:ascii="Arial" w:eastAsia="Arial" w:hAnsi="Arial" w:cs="Arial"/>
                <w:color w:val="000000"/>
                <w:sz w:val="16"/>
              </w:rPr>
              <w:tab/>
              <w:t>(0.04)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4217E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99BF66B"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383EC2A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F71254C"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for the period continuing operations </w:t>
            </w:r>
            <w:r w:rsidRPr="00BF725B">
              <w:rPr>
                <w:rFonts w:ascii="Arial" w:eastAsia="Arial" w:hAnsi="Arial" w:cs="Arial"/>
                <w:sz w:val="16"/>
                <w:vertAlign w:val="superscript"/>
                <w:lang w:val="en-US"/>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B0C9B8"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379473"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1.5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46DC3C" w14:textId="77777777" w:rsidR="0061045F" w:rsidRDefault="0061045F" w:rsidP="003931D5">
            <w:pPr>
              <w:tabs>
                <w:tab w:val="left" w:pos="545"/>
              </w:tabs>
              <w:spacing w:before="33" w:after="30"/>
              <w:jc w:val="right"/>
            </w:pPr>
            <w:r>
              <w:rPr>
                <w:rFonts w:ascii="Arial" w:eastAsia="Arial" w:hAnsi="Arial" w:cs="Arial"/>
                <w:color w:val="000000"/>
                <w:sz w:val="16"/>
              </w:rPr>
              <w:tab/>
              <w:t>(6.6)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7BEF8C"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91.8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8A18A2E"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106.2</w:t>
            </w:r>
            <w:r>
              <w:rPr>
                <w:rFonts w:ascii="Arial" w:eastAsia="Arial" w:hAnsi="Arial" w:cs="Arial"/>
                <w:color w:val="000000"/>
                <w:sz w:val="16"/>
              </w:rPr>
              <w:tab/>
            </w:r>
          </w:p>
        </w:tc>
      </w:tr>
      <w:tr w:rsidR="0061045F" w14:paraId="0647CBD8" w14:textId="77777777" w:rsidTr="783BBF32">
        <w:trPr>
          <w:cantSplit/>
          <w:trHeight w:hRule="exact" w:val="40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ABE667F"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Net (loss) earnings per share continuing operations – </w:t>
            </w:r>
          </w:p>
          <w:p w14:paraId="556EEA35" w14:textId="77777777" w:rsidR="0061045F" w:rsidRDefault="0061045F" w:rsidP="783BBF32">
            <w:pPr>
              <w:spacing w:after="30"/>
              <w:ind w:left="135"/>
              <w:rPr>
                <w:rFonts w:ascii="Arial" w:eastAsia="Arial" w:hAnsi="Arial" w:cs="Arial"/>
                <w:sz w:val="16"/>
                <w:szCs w:val="16"/>
              </w:rPr>
            </w:pPr>
            <w:r w:rsidRPr="783BBF32">
              <w:rPr>
                <w:rFonts w:ascii="Arial" w:eastAsia="Arial" w:hAnsi="Arial" w:cs="Arial"/>
                <w:sz w:val="16"/>
                <w:szCs w:val="16"/>
              </w:rPr>
              <w:t xml:space="preserve">basic ($/share) </w:t>
            </w:r>
            <w:r w:rsidRPr="783BBF32">
              <w:rPr>
                <w:rFonts w:ascii="Arial" w:eastAsia="Arial" w:hAnsi="Arial" w:cs="Arial"/>
                <w:sz w:val="16"/>
                <w:szCs w:val="16"/>
                <w:vertAlign w:val="superscript"/>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1BC57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72B09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ED1BDF" w14:textId="77777777" w:rsidR="0061045F" w:rsidRDefault="0061045F" w:rsidP="003931D5">
            <w:pPr>
              <w:tabs>
                <w:tab w:val="left" w:pos="457"/>
              </w:tabs>
              <w:spacing w:before="33" w:after="30"/>
              <w:jc w:val="right"/>
            </w:pPr>
            <w:r>
              <w:rPr>
                <w:rFonts w:ascii="Arial" w:eastAsia="Arial" w:hAnsi="Arial" w:cs="Arial"/>
                <w:color w:val="000000"/>
                <w:sz w:val="16"/>
              </w:rPr>
              <w:tab/>
              <w:t>(0.03)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53086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C7597A8"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0.55</w:t>
            </w:r>
            <w:r>
              <w:rPr>
                <w:rFonts w:ascii="Arial" w:eastAsia="Arial" w:hAnsi="Arial" w:cs="Arial"/>
                <w:color w:val="000000"/>
                <w:sz w:val="16"/>
              </w:rPr>
              <w:tab/>
            </w:r>
          </w:p>
        </w:tc>
      </w:tr>
      <w:tr w:rsidR="0061045F" w14:paraId="17F76150" w14:textId="77777777" w:rsidTr="783BBF32">
        <w:trPr>
          <w:cantSplit/>
          <w:trHeight w:hRule="exact" w:val="40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B63DFB5"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Net (loss) earnings per share continuing operations – </w:t>
            </w:r>
          </w:p>
          <w:p w14:paraId="1189EC1D" w14:textId="77777777" w:rsidR="0061045F" w:rsidRDefault="0061045F" w:rsidP="783BBF32">
            <w:pPr>
              <w:spacing w:after="30"/>
              <w:ind w:left="135"/>
              <w:rPr>
                <w:rFonts w:ascii="Arial" w:eastAsia="Arial" w:hAnsi="Arial" w:cs="Arial"/>
                <w:sz w:val="16"/>
                <w:szCs w:val="16"/>
              </w:rPr>
            </w:pPr>
            <w:r w:rsidRPr="783BBF32">
              <w:rPr>
                <w:rFonts w:ascii="Arial" w:eastAsia="Arial" w:hAnsi="Arial" w:cs="Arial"/>
                <w:sz w:val="16"/>
                <w:szCs w:val="16"/>
              </w:rPr>
              <w:t xml:space="preserve">diluted ($/share) </w:t>
            </w:r>
            <w:r w:rsidRPr="783BBF32">
              <w:rPr>
                <w:rFonts w:ascii="Arial" w:eastAsia="Arial" w:hAnsi="Arial" w:cs="Arial"/>
                <w:sz w:val="16"/>
                <w:szCs w:val="16"/>
                <w:vertAlign w:val="superscript"/>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33C15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38D184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E8FE08" w14:textId="77777777" w:rsidR="0061045F" w:rsidRDefault="0061045F" w:rsidP="003931D5">
            <w:pPr>
              <w:tabs>
                <w:tab w:val="left" w:pos="457"/>
              </w:tabs>
              <w:spacing w:before="33" w:after="30"/>
              <w:jc w:val="right"/>
            </w:pPr>
            <w:r>
              <w:rPr>
                <w:rFonts w:ascii="Arial" w:eastAsia="Arial" w:hAnsi="Arial" w:cs="Arial"/>
                <w:color w:val="000000"/>
                <w:sz w:val="16"/>
              </w:rPr>
              <w:tab/>
              <w:t>(0.03)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66797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D4F5832"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0104E63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5D0A50"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w:t>
            </w:r>
            <w:r w:rsidRPr="00BF725B">
              <w:rPr>
                <w:rFonts w:ascii="Arial" w:eastAsia="Arial" w:hAnsi="Arial" w:cs="Arial"/>
                <w:sz w:val="16"/>
                <w:vertAlign w:val="superscript"/>
                <w:lang w:val="en-US"/>
              </w:rPr>
              <w:t>(1,2,4,5,6)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61672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16.7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BEC63D"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9.7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C7FD3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35.0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4AAFEE"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49.3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F4BFBB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110.7</w:t>
            </w:r>
            <w:r>
              <w:rPr>
                <w:rFonts w:ascii="Arial" w:eastAsia="Arial" w:hAnsi="Arial" w:cs="Arial"/>
                <w:color w:val="000000"/>
                <w:sz w:val="16"/>
              </w:rPr>
              <w:tab/>
            </w:r>
          </w:p>
        </w:tc>
      </w:tr>
      <w:tr w:rsidR="0061045F" w14:paraId="63D60825" w14:textId="77777777" w:rsidTr="783BBF32">
        <w:trPr>
          <w:cantSplit/>
          <w:trHeight w:hRule="exact" w:val="37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4017991"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Adjusted net earnings per share continuing operations –  </w:t>
            </w:r>
          </w:p>
          <w:p w14:paraId="37A18D7D" w14:textId="77777777" w:rsidR="0061045F" w:rsidRDefault="0061045F" w:rsidP="783BBF32">
            <w:pPr>
              <w:spacing w:after="30"/>
              <w:ind w:left="135"/>
              <w:rPr>
                <w:rFonts w:ascii="Arial" w:eastAsia="Arial" w:hAnsi="Arial" w:cs="Arial"/>
                <w:sz w:val="16"/>
                <w:szCs w:val="16"/>
              </w:rPr>
            </w:pPr>
            <w:r w:rsidRPr="783BBF32">
              <w:rPr>
                <w:rFonts w:ascii="Arial" w:eastAsia="Arial" w:hAnsi="Arial" w:cs="Arial"/>
                <w:sz w:val="16"/>
                <w:szCs w:val="16"/>
              </w:rPr>
              <w:t>basic ($/share)</w:t>
            </w:r>
            <w:r w:rsidRPr="783BBF32">
              <w:rPr>
                <w:rFonts w:ascii="Arial" w:eastAsia="Arial" w:hAnsi="Arial" w:cs="Arial"/>
                <w:sz w:val="16"/>
                <w:szCs w:val="16"/>
                <w:vertAlign w:val="superscript"/>
              </w:rPr>
              <w:t xml:space="preserve"> (1,2,4,5,6)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BDC34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F921E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969413"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CBB921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2E0597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0.57</w:t>
            </w:r>
            <w:r>
              <w:rPr>
                <w:rFonts w:ascii="Arial" w:eastAsia="Arial" w:hAnsi="Arial" w:cs="Arial"/>
                <w:color w:val="000000"/>
                <w:sz w:val="16"/>
              </w:rPr>
              <w:tab/>
            </w:r>
          </w:p>
        </w:tc>
      </w:tr>
      <w:tr w:rsidR="0061045F" w14:paraId="6B3788D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035753"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cash flow from operating activities </w:t>
            </w:r>
            <w:r w:rsidRPr="00BF725B">
              <w:rPr>
                <w:rFonts w:ascii="Arial" w:eastAsia="Arial" w:hAnsi="Arial" w:cs="Arial"/>
                <w:sz w:val="16"/>
                <w:vertAlign w:val="superscript"/>
                <w:lang w:val="en-US"/>
              </w:rPr>
              <w:t>(1)</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39C380"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41.0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0DCFC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FE7F92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107.7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4F19E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159.6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2A26633"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382.9</w:t>
            </w:r>
            <w:r>
              <w:rPr>
                <w:rFonts w:ascii="Arial" w:eastAsia="Arial" w:hAnsi="Arial" w:cs="Arial"/>
                <w:color w:val="000000"/>
                <w:sz w:val="16"/>
              </w:rPr>
              <w:tab/>
            </w:r>
          </w:p>
        </w:tc>
      </w:tr>
      <w:tr w:rsidR="0061045F" w14:paraId="075536A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89A9E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Cash flow from operating activities before changes in working capital </w:t>
            </w:r>
            <w:r w:rsidRPr="00BF725B">
              <w:rPr>
                <w:rFonts w:ascii="Arial" w:eastAsia="Arial" w:hAnsi="Arial" w:cs="Arial"/>
                <w:sz w:val="16"/>
                <w:vertAlign w:val="superscript"/>
                <w:lang w:val="en-US"/>
              </w:rPr>
              <w:t>(1,2,6)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847B7E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93.2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668FC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82.4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A698FD"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97.5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47F7A0"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138.0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8F3AD8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411.2</w:t>
            </w:r>
            <w:r>
              <w:rPr>
                <w:rFonts w:ascii="Arial" w:eastAsia="Arial" w:hAnsi="Arial" w:cs="Arial"/>
                <w:color w:val="000000"/>
                <w:sz w:val="16"/>
              </w:rPr>
              <w:tab/>
            </w:r>
          </w:p>
        </w:tc>
      </w:tr>
      <w:tr w:rsidR="0061045F" w14:paraId="06398AA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B1DEB32"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Free cash flow </w:t>
            </w:r>
            <w:r w:rsidRPr="783BBF32">
              <w:rPr>
                <w:rFonts w:ascii="Arial" w:eastAsia="Arial" w:hAnsi="Arial" w:cs="Arial"/>
                <w:sz w:val="16"/>
                <w:szCs w:val="16"/>
                <w:vertAlign w:val="superscript"/>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D4D126" w14:textId="77777777" w:rsidR="0061045F" w:rsidRDefault="0061045F" w:rsidP="003931D5">
            <w:pPr>
              <w:tabs>
                <w:tab w:val="left" w:pos="477"/>
              </w:tabs>
              <w:spacing w:before="33" w:after="30"/>
              <w:jc w:val="right"/>
            </w:pPr>
            <w:r>
              <w:rPr>
                <w:rFonts w:ascii="Arial" w:eastAsia="Arial" w:hAnsi="Arial" w:cs="Arial"/>
                <w:color w:val="000000"/>
                <w:sz w:val="16"/>
              </w:rPr>
              <w:tab/>
              <w:t>(34.4)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68A5E8" w14:textId="77777777" w:rsidR="0061045F" w:rsidRDefault="0061045F" w:rsidP="003931D5">
            <w:pPr>
              <w:tabs>
                <w:tab w:val="left" w:pos="477"/>
              </w:tabs>
              <w:spacing w:before="33" w:after="30"/>
              <w:jc w:val="right"/>
            </w:pPr>
            <w:r>
              <w:rPr>
                <w:rFonts w:ascii="Arial" w:eastAsia="Arial" w:hAnsi="Arial" w:cs="Arial"/>
                <w:color w:val="000000"/>
                <w:sz w:val="16"/>
              </w:rPr>
              <w:tab/>
              <w:t>(22.4)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B15593" w14:textId="77777777" w:rsidR="0061045F" w:rsidRDefault="0061045F" w:rsidP="003931D5">
            <w:pPr>
              <w:tabs>
                <w:tab w:val="left" w:pos="477"/>
              </w:tabs>
              <w:spacing w:before="33" w:after="30"/>
              <w:jc w:val="right"/>
            </w:pPr>
            <w:r>
              <w:rPr>
                <w:rFonts w:ascii="Arial" w:eastAsia="Arial" w:hAnsi="Arial" w:cs="Arial"/>
                <w:color w:val="000000"/>
                <w:sz w:val="16"/>
              </w:rPr>
              <w:tab/>
              <w:t>(19.7)</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2CCD4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29.3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8CB3192" w14:textId="77777777" w:rsidR="0061045F" w:rsidRDefault="0061045F" w:rsidP="003931D5">
            <w:pPr>
              <w:tabs>
                <w:tab w:val="left" w:pos="522"/>
              </w:tabs>
              <w:spacing w:before="33" w:after="30"/>
              <w:jc w:val="right"/>
            </w:pPr>
            <w:r>
              <w:rPr>
                <w:rFonts w:ascii="Arial" w:eastAsia="Arial" w:hAnsi="Arial" w:cs="Arial"/>
                <w:color w:val="000000"/>
                <w:sz w:val="16"/>
              </w:rPr>
              <w:tab/>
              <w:t>(47.2)</w:t>
            </w:r>
          </w:p>
        </w:tc>
      </w:tr>
      <w:tr w:rsidR="0061045F" w14:paraId="705AC00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888EF9F"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5DA77D" w14:textId="77777777" w:rsidR="0061045F" w:rsidRDefault="0061045F" w:rsidP="003931D5">
            <w:pPr>
              <w:tabs>
                <w:tab w:val="left" w:pos="477"/>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EF427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13.0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D6E50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36.8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1DA7D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82.0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3BCE2EF"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112.6</w:t>
            </w:r>
            <w:r>
              <w:rPr>
                <w:rFonts w:ascii="Arial" w:eastAsia="Arial" w:hAnsi="Arial" w:cs="Arial"/>
                <w:color w:val="000000"/>
                <w:sz w:val="16"/>
              </w:rPr>
              <w:tab/>
            </w:r>
          </w:p>
        </w:tc>
      </w:tr>
      <w:tr w:rsidR="0061045F" w14:paraId="7546E41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4854772"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Cash and cash equivalents</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12D32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262.3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53A765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456.6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EDB1A9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476.6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698AA30"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9C5D346"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r>
      <w:tr w:rsidR="0061045F" w14:paraId="04C1D8D0"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BAA3BE0"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Total assets</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C7C649"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4,501.0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0EA40D"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4,742.1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7B87624"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4,812.2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A9920BD"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F89CE73" w14:textId="77777777" w:rsidR="0061045F" w:rsidRDefault="0061045F" w:rsidP="003931D5">
            <w:pPr>
              <w:tabs>
                <w:tab w:val="left" w:pos="353"/>
                <w:tab w:val="left" w:pos="937"/>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r>
      <w:tr w:rsidR="0061045F" w14:paraId="1D7C07F3"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BA75E89"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Debt</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E25F5E"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493.4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71A2CB"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546.0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7F132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596.5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0E64A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4376DCC"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r>
    </w:tbl>
    <w:p w14:paraId="3A49AAC7" w14:textId="77777777" w:rsidR="0061045F" w:rsidRDefault="0061045F" w:rsidP="783BBF32">
      <w:pPr>
        <w:numPr>
          <w:ilvl w:val="0"/>
          <w:numId w:val="52"/>
        </w:numPr>
        <w:spacing w:before="60" w:line="288" w:lineRule="auto"/>
        <w:ind w:left="630"/>
        <w:rPr>
          <w:rFonts w:ascii="Arial" w:eastAsia="Arial" w:hAnsi="Arial" w:cs="Arial"/>
          <w:i/>
          <w:iCs/>
          <w:sz w:val="14"/>
          <w:szCs w:val="14"/>
        </w:rPr>
      </w:pPr>
      <w:r w:rsidRPr="00086E54">
        <w:rPr>
          <w:rFonts w:ascii="Arial" w:eastAsia="Arial" w:hAnsi="Arial" w:cs="Arial"/>
          <w:i/>
          <w:iCs/>
          <w:color w:val="000000" w:themeColor="text1"/>
          <w:sz w:val="14"/>
          <w:szCs w:val="14"/>
          <w:lang w:val="en-US"/>
        </w:rPr>
        <w:t xml:space="preserve">Amounts presented are from continuing operations only and exclude the Romania segment. </w:t>
      </w:r>
      <w:r w:rsidRPr="783BBF32">
        <w:rPr>
          <w:rFonts w:ascii="Arial" w:eastAsia="Arial" w:hAnsi="Arial" w:cs="Arial"/>
          <w:i/>
          <w:iCs/>
          <w:color w:val="000000" w:themeColor="text1"/>
          <w:sz w:val="14"/>
          <w:szCs w:val="14"/>
        </w:rPr>
        <w:t xml:space="preserve">See Note 6 of our consolidated financial statements.  </w:t>
      </w:r>
    </w:p>
    <w:p w14:paraId="3729624B" w14:textId="77777777" w:rsidR="0061045F" w:rsidRPr="00BF725B" w:rsidRDefault="0061045F" w:rsidP="0061045F">
      <w:pPr>
        <w:numPr>
          <w:ilvl w:val="0"/>
          <w:numId w:val="53"/>
        </w:numPr>
        <w:spacing w:before="60" w:line="288" w:lineRule="auto"/>
        <w:ind w:left="630"/>
        <w:rPr>
          <w:rFonts w:ascii="Arial" w:eastAsia="Arial" w:hAnsi="Arial" w:cs="Arial"/>
          <w:i/>
          <w:color w:val="000000"/>
          <w:sz w:val="14"/>
          <w:lang w:val="en-US"/>
        </w:rPr>
      </w:pPr>
      <w:r w:rsidRPr="00BF725B">
        <w:rPr>
          <w:rFonts w:ascii="Arial" w:eastAsia="Arial" w:hAnsi="Arial" w:cs="Arial"/>
          <w:i/>
          <w:color w:val="000000"/>
          <w:sz w:val="14"/>
          <w:lang w:val="en-US"/>
        </w:rPr>
        <w:t>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2024 MD&amp;A.</w:t>
      </w:r>
    </w:p>
    <w:p w14:paraId="49ACB475" w14:textId="77777777" w:rsidR="0061045F" w:rsidRPr="00BF725B" w:rsidRDefault="0061045F" w:rsidP="0061045F">
      <w:pPr>
        <w:numPr>
          <w:ilvl w:val="0"/>
          <w:numId w:val="54"/>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By-product revenues are off-set against total cash costs.</w:t>
      </w:r>
    </w:p>
    <w:p w14:paraId="0193C4D9" w14:textId="77777777" w:rsidR="0061045F" w:rsidRPr="00BF725B" w:rsidRDefault="0061045F" w:rsidP="0061045F">
      <w:pPr>
        <w:numPr>
          <w:ilvl w:val="0"/>
          <w:numId w:val="55"/>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Attributable to shareholders of the Company.</w:t>
      </w:r>
    </w:p>
    <w:p w14:paraId="1CF3723B" w14:textId="77777777" w:rsidR="0061045F" w:rsidRPr="00BF725B" w:rsidRDefault="0061045F" w:rsidP="0061045F">
      <w:pPr>
        <w:numPr>
          <w:ilvl w:val="0"/>
          <w:numId w:val="56"/>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A concentrate weight-scale calibration correction at Olympias has resulted in an adjustment to ending inventory as at March 31, 2023 of 1,024 gold ounces. Gold production in Q1 2023 has been reduced by this amount, resulting in additional production costs of $1.3 million and additional depreciation expense of $0.7 million for Q1 2023.</w:t>
      </w:r>
    </w:p>
    <w:p w14:paraId="4271FA28" w14:textId="77777777" w:rsidR="0061045F" w:rsidRPr="00BF725B" w:rsidRDefault="0061045F" w:rsidP="0061045F">
      <w:pPr>
        <w:numPr>
          <w:ilvl w:val="0"/>
          <w:numId w:val="57"/>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Q1-Q3 2023 revenues and production costs have been adjusted to reclassify freight-related concentrate sales pricing adjustments from selling expenses to revenues. The reclassification was $1.5 million for Q1 2023, $0.9 million for Q2 2023, and $0.4 million for Q3 2023, and has no impact on net income.</w:t>
      </w:r>
      <w:r w:rsidRPr="00BF725B">
        <w:rPr>
          <w:rFonts w:ascii="Arial" w:eastAsia="Arial" w:hAnsi="Arial" w:cs="Arial"/>
          <w:i/>
          <w:sz w:val="14"/>
          <w:lang w:val="en-US"/>
        </w:rPr>
        <w:t xml:space="preserve"> </w:t>
      </w:r>
    </w:p>
    <w:p w14:paraId="4DFEB088" w14:textId="77777777" w:rsidR="00BC2819" w:rsidRPr="006753BF" w:rsidRDefault="00BC2819">
      <w:pPr>
        <w:spacing w:before="20" w:line="288" w:lineRule="auto"/>
        <w:ind w:left="-90"/>
        <w:rPr>
          <w:rFonts w:ascii="Arial" w:eastAsia="Arial" w:hAnsi="Arial" w:cs="Arial"/>
          <w:i/>
          <w:sz w:val="14"/>
          <w:lang w:val="en-US"/>
        </w:rPr>
      </w:pPr>
    </w:p>
    <w:p w14:paraId="4DFEB089" w14:textId="69C64367" w:rsidR="00BC2819" w:rsidRPr="006753BF" w:rsidRDefault="008673D2" w:rsidP="783BBF32">
      <w:pPr>
        <w:spacing w:before="120" w:line="288" w:lineRule="auto"/>
        <w:jc w:val="both"/>
        <w:rPr>
          <w:rFonts w:ascii="Arial" w:eastAsia="Arial" w:hAnsi="Arial" w:cs="Arial"/>
          <w:b/>
          <w:bCs/>
          <w:i/>
          <w:iCs/>
          <w:color w:val="000000"/>
          <w:sz w:val="14"/>
          <w:szCs w:val="14"/>
          <w:shd w:val="clear" w:color="auto" w:fill="FFFF00"/>
        </w:rPr>
      </w:pPr>
      <w:r w:rsidRPr="783BBF32">
        <w:rPr>
          <w:rFonts w:ascii="Arial" w:hAnsi="Arial"/>
          <w:color w:val="000000" w:themeColor="text1"/>
          <w:sz w:val="20"/>
          <w:szCs w:val="20"/>
        </w:rPr>
        <w:t xml:space="preserve">Οι πωλήσεις χρυσού το 2024 ανήλθαν συνολικά σε 517.926 ουγγιές, καταγράφοντας αύξηση </w:t>
      </w:r>
      <w:r w:rsidR="00BF725B" w:rsidRPr="783BBF32">
        <w:rPr>
          <w:rFonts w:ascii="Arial" w:hAnsi="Arial"/>
          <w:color w:val="000000" w:themeColor="text1"/>
          <w:sz w:val="20"/>
          <w:szCs w:val="20"/>
        </w:rPr>
        <w:t xml:space="preserve">7% </w:t>
      </w:r>
      <w:r w:rsidRPr="783BBF32">
        <w:rPr>
          <w:rFonts w:ascii="Arial" w:hAnsi="Arial"/>
          <w:color w:val="000000" w:themeColor="text1"/>
          <w:sz w:val="20"/>
          <w:szCs w:val="20"/>
        </w:rPr>
        <w:t>από τις 483.978 ουγγιές το 2023. Ο υψηλότερος όγκος πωλήσεων το 2024 σε σύγκριση με το προηγούμενο έτος αποτύπωσε πρωτίστως την υψηλότερη παραγωγή στο Kisladag και το Lamaque, με αυξήσεις 18.668 και 18.175</w:t>
      </w:r>
      <w:r w:rsidRPr="783BBF32">
        <w:rPr>
          <w:rFonts w:ascii="Arial" w:hAnsi="Arial"/>
          <w:sz w:val="20"/>
          <w:szCs w:val="20"/>
        </w:rPr>
        <w:t xml:space="preserve"> </w:t>
      </w:r>
      <w:r w:rsidRPr="783BBF32">
        <w:rPr>
          <w:rFonts w:ascii="Arial" w:hAnsi="Arial"/>
          <w:color w:val="000000" w:themeColor="text1"/>
          <w:sz w:val="20"/>
          <w:szCs w:val="20"/>
        </w:rPr>
        <w:t>πωληθεισών ουγγιών, αντίστοιχα, καθώς και ελαφρώς υψηλότερη παραγωγή και έγκαιρες πωλήσεις συμπυκνωμάτων στην Ολυμπιάδα με αύξηση κατά 3.181 ουγγιές. Αυτές οι αυξήσεις αντισταθμίστηκαν εν μέρει από τη μείωση κατά 6.076 πωληθείσες ουγγιές στο Efemcukuru, σε μεγάλο βαθμό λόγω της χαμηλότερης παραγωγής που οφειλόταν στη χαμηλότερη μέση περιεκτικότητα σε χρυσό. Οι πωλήσεις χρυσού ανήλθαν σε 156.864 ουγγιές το τέταρτο τρίμηνο του 2024, καταγράφοντας αύξηση 8% από 144.827 ουγγιές το τέταρτο τρίμηνο του 2023, κατά κύριο λόγο χάρη στην αυξημένη παραγωγή στο Kisladag και στο Lamaque κατά τη διάρκεια του τριμήνου.</w:t>
      </w:r>
    </w:p>
    <w:p w14:paraId="4DFEB08A"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Η μέση επιτευχθείσα τιμή χρυσού</w:t>
      </w:r>
      <w:r w:rsidRPr="783BBF32">
        <w:rPr>
          <w:rFonts w:ascii="Arial" w:hAnsi="Arial"/>
          <w:sz w:val="20"/>
          <w:szCs w:val="20"/>
          <w:vertAlign w:val="superscript"/>
        </w:rPr>
        <w:t>(3)</w:t>
      </w:r>
      <w:r w:rsidRPr="783BBF32">
        <w:rPr>
          <w:rFonts w:ascii="Arial" w:hAnsi="Arial"/>
          <w:sz w:val="20"/>
          <w:szCs w:val="20"/>
        </w:rPr>
        <w:t xml:space="preserve"> ήταν 2.405 δολάρια ανά πωληθείσα ουγγιά το 2024, καταγράφοντας αύξηση από 1.944 δολάρια ανά πωληθείσα ουγγιά το 2023, καθώς συνεχίστηκαν οι υψηλές τιμές καθ’ όλη τη διάρκεια του έτους.</w:t>
      </w:r>
      <w:r w:rsidRPr="783BBF32">
        <w:rPr>
          <w:rFonts w:ascii="Arial" w:hAnsi="Arial"/>
          <w:color w:val="000000" w:themeColor="text1"/>
          <w:sz w:val="20"/>
          <w:szCs w:val="20"/>
        </w:rPr>
        <w:t xml:space="preserve"> Η μέση επιτευχθείσα τιμή χρυσού ήταν 2.625 δολ. το τέταρτο τρίμηνο του 2024 (σε σύγκριση με 1.999 δολάρια το τέταρτο τρίμηνο του 2023).</w:t>
      </w:r>
    </w:p>
    <w:p w14:paraId="4DFEB08B"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color w:val="000000" w:themeColor="text1"/>
          <w:sz w:val="20"/>
          <w:szCs w:val="20"/>
        </w:rPr>
        <w:t xml:space="preserve">Τα συνολικά έσοδα ήταν 1.322,6 εκατ. δολ. το 2024, δηλαδή αύξηση 31% από έσοδα 1.008,5 εκατ. δολ. το 2023. Η αύξηση οφειλόταν κατά κύριο λόγο στους υψηλότερους όγκους πωλήσεων και στη μέση επιτευχθείσα τιμή χρυσού. Τα συνολικά έσοδα ήταν 435,7 εκατ. δολ. το τέταρτο τρίμηνο του 2024, δηλαδή αύξηση 42% από τα έσοδα των 306,9 εκατ. δολ. το τέταρτο τρίμηνο του 2023, για τους ίδιους λόγους. </w:t>
      </w:r>
    </w:p>
    <w:p w14:paraId="4DFEB08C" w14:textId="77777777" w:rsidR="00BC2819" w:rsidRPr="006753BF" w:rsidRDefault="008673D2" w:rsidP="783BBF32">
      <w:pPr>
        <w:spacing w:before="120" w:line="288" w:lineRule="auto"/>
        <w:jc w:val="both"/>
        <w:rPr>
          <w:rFonts w:ascii="Arial" w:eastAsia="Arial" w:hAnsi="Arial" w:cs="Arial"/>
          <w:color w:val="000000"/>
          <w:sz w:val="20"/>
          <w:szCs w:val="20"/>
          <w:shd w:val="clear" w:color="auto" w:fill="FFFF00"/>
        </w:rPr>
      </w:pPr>
      <w:r w:rsidRPr="783BBF32">
        <w:rPr>
          <w:rFonts w:ascii="Arial" w:hAnsi="Arial"/>
          <w:color w:val="000000" w:themeColor="text1"/>
          <w:sz w:val="20"/>
          <w:szCs w:val="20"/>
        </w:rPr>
        <w:t>Το κόστος παραγωγής ύψους 564,2 εκατ. δολ. το 2024 αυξήθηκε από 478,9 εκατ. δολ. το 2023 και το κόστος παραγωγής των 172,1 εκατ. δολ. το τέταρτο τρίμηνο του 2024 αυξήθηκε από 137,6 εκατ. δολ. το τέταρτο τρίμηνο του 2023. Οι αυξήσεις στις δύο περιόδους οφείλονταν στους αυξημένους όγκους πωλήσεων καθώς και στα υψηλότερα ταμειακά έξοδα, δεδομένου ότι αυτά τα έξοδα επηρεάστηκαν από τα αυξημένα δικαιώματα εκμετάλλευσης (λόγω υψηλότερων πωλήσεων χρυσού και της υψηλότερης μέσης τιμής χρυσού) και από την αύξηση του κόστους εργασίας.</w:t>
      </w:r>
      <w:r w:rsidRPr="783BBF32">
        <w:rPr>
          <w:rFonts w:ascii="Arial" w:hAnsi="Arial"/>
          <w:sz w:val="20"/>
          <w:szCs w:val="20"/>
        </w:rPr>
        <w:t xml:space="preserve"> </w:t>
      </w:r>
    </w:p>
    <w:p w14:paraId="4DFEB08D" w14:textId="77777777" w:rsidR="00BC2819" w:rsidRPr="006753BF" w:rsidRDefault="008673D2" w:rsidP="783BBF32">
      <w:pPr>
        <w:spacing w:before="120" w:line="288" w:lineRule="auto"/>
        <w:jc w:val="both"/>
        <w:rPr>
          <w:rFonts w:ascii="Arial" w:eastAsia="Arial" w:hAnsi="Arial" w:cs="Arial"/>
          <w:b/>
          <w:bCs/>
          <w:i/>
          <w:iCs/>
          <w:color w:val="000000"/>
          <w:sz w:val="14"/>
          <w:szCs w:val="14"/>
          <w:shd w:val="clear" w:color="auto" w:fill="FFFFFF"/>
        </w:rPr>
      </w:pPr>
      <w:r w:rsidRPr="783BBF32">
        <w:rPr>
          <w:rFonts w:ascii="Arial" w:hAnsi="Arial"/>
          <w:sz w:val="20"/>
          <w:szCs w:val="20"/>
        </w:rPr>
        <w:t>Το κόστος παραγωγής περιλαμβάνει δικαιώματα εκμετάλλευσης που αυξήθηκαν σε 79,4 εκατ. δολ. το 2024 από 51,8 εκατ. δολ. το 2023, και αυξήθηκαν σε 26,4 εκατ. δολ. το τέταρτο τρίμηνο του 2024 από 16,5 εκατ. δολ. το τέταρτο τρίμηνο του 2023, αποτυπώνοντας κυρίως τις υψηλότερες μέσες τιμές χρυσού σε συνδυασμό με τους υψηλότερους όγκους πωλήσεων.</w:t>
      </w:r>
      <w:r w:rsidRPr="783BBF32">
        <w:rPr>
          <w:rFonts w:ascii="Arial" w:hAnsi="Arial"/>
          <w:color w:val="000000" w:themeColor="text1"/>
          <w:sz w:val="20"/>
          <w:szCs w:val="20"/>
        </w:rPr>
        <w:t xml:space="preserve"> Στην Τουρκία, τα δικαιώματα εκμετάλλευσης καταβάλλονται επί των εσόδων μείον ορισμένα έξοδα που συνδέονται με τη μεταφόρτωση του μεταλλεύματος, την κατεργασία μεταλλευμάτων και τις συναφείς αποσβέσεις. Υπολογίζονται με βάση αναλογική κλίμακα σύμφωνα με τη μέση τιμή χρυσού στο Χρηματιστήριο Μετάλλων του Λονδίνου κατά τη διάρκεια του ημερολογιακού έτους. Στην Ελλάδα, τα δικαιώματα εκμετάλλευσης καταβάλλονται επί των εσόδων και υπολογίζονται με βάση αναλογική κλίμακα που συνδέεται με τις διεθνείς τιμές χρυσού και βασικών μετάλλων και με την ισοτιμία ευρώ/δολαρίου ΗΠΑ. </w:t>
      </w:r>
    </w:p>
    <w:p w14:paraId="4DFEB08E" w14:textId="77777777" w:rsidR="00BC2819" w:rsidRPr="006753BF" w:rsidRDefault="008673D2">
      <w:pPr>
        <w:spacing w:before="120" w:line="288" w:lineRule="auto"/>
        <w:jc w:val="both"/>
      </w:pPr>
      <w:r w:rsidRPr="783BBF32">
        <w:rPr>
          <w:rFonts w:ascii="Arial" w:hAnsi="Arial"/>
          <w:color w:val="000000"/>
          <w:sz w:val="20"/>
          <w:szCs w:val="20"/>
        </w:rPr>
        <w:t>Τα ταμειακά λειτουργικά έξοδα</w:t>
      </w:r>
      <w:r w:rsidRPr="783BBF32">
        <w:rPr>
          <w:rFonts w:ascii="Arial" w:hAnsi="Arial"/>
          <w:sz w:val="20"/>
          <w:szCs w:val="20"/>
          <w:vertAlign w:val="superscript"/>
        </w:rPr>
        <w:t>(</w:t>
      </w:r>
      <w:r w:rsidRPr="783BBF32">
        <w:rPr>
          <w:rStyle w:val="a3"/>
          <w:rFonts w:ascii="Arial" w:eastAsia="Arial" w:hAnsi="Arial" w:cs="Arial"/>
          <w:sz w:val="20"/>
          <w:szCs w:val="20"/>
        </w:rPr>
        <w:footnoteReference w:id="4"/>
      </w:r>
      <w:r w:rsidRPr="783BBF32">
        <w:rPr>
          <w:rFonts w:ascii="Arial" w:hAnsi="Arial"/>
          <w:sz w:val="20"/>
          <w:szCs w:val="20"/>
          <w:vertAlign w:val="superscript"/>
        </w:rPr>
        <w:t>)</w:t>
      </w:r>
      <w:r w:rsidRPr="783BBF32">
        <w:rPr>
          <w:rFonts w:ascii="Arial" w:hAnsi="Arial"/>
          <w:color w:val="000000"/>
          <w:sz w:val="20"/>
          <w:szCs w:val="20"/>
        </w:rPr>
        <w:t xml:space="preserve"> ανήλθαν κατά μέσο όρο σε 940 δολ. ανά πωληθείσα ουγγιά το 2024, δηλαδή αυξήθηκαν από 850 δολ. ανά πωληθείσα ουγγιά το 2023. </w:t>
      </w:r>
      <w:r w:rsidRPr="783BBF32">
        <w:rPr>
          <w:rFonts w:ascii="Arial" w:hAnsi="Arial"/>
          <w:sz w:val="20"/>
          <w:szCs w:val="20"/>
        </w:rPr>
        <w:t>Το τέταρτο τρίμηνο του 2024, τα συνολικά ταμειακά λειτουργικά έξοδα ανήλθαν κατά μέσο όρο σε 944 δολ. ανά πωληθείσα ουγγιά, δηλαδή αυξήθηκαν από 830 δολ. ανά πωληθείσα ουγγιά το τέταρτο τρίμηνο του 2023.</w:t>
      </w:r>
      <w:r w:rsidRPr="783BBF32">
        <w:rPr>
          <w:rFonts w:ascii="Arial" w:hAnsi="Arial"/>
          <w:color w:val="000000"/>
          <w:sz w:val="20"/>
          <w:szCs w:val="20"/>
        </w:rPr>
        <w:t xml:space="preserve"> Η αύξηση σε αυτές τις δύο περιόδους οφειλόταν πρωτίστως στα υψηλότερα δικαιώματα εκμετάλλευσης (που ήταν απόρροια των υψηλότερων τιμών χρυσού) και στο υψηλότερο κόστος εργασίας. </w:t>
      </w:r>
    </w:p>
    <w:p w14:paraId="4DFEB08F" w14:textId="77777777" w:rsidR="00BC2819" w:rsidRPr="006753BF" w:rsidRDefault="008673D2" w:rsidP="783BBF32">
      <w:pPr>
        <w:spacing w:before="120" w:line="288" w:lineRule="auto"/>
        <w:jc w:val="both"/>
        <w:rPr>
          <w:rFonts w:ascii="Arial" w:eastAsia="Arial" w:hAnsi="Arial" w:cs="Arial"/>
          <w:color w:val="000000"/>
          <w:sz w:val="20"/>
          <w:szCs w:val="20"/>
          <w:shd w:val="clear" w:color="auto" w:fill="FFFF00"/>
        </w:rPr>
      </w:pPr>
      <w:r w:rsidRPr="783BBF32">
        <w:rPr>
          <w:rFonts w:ascii="Arial" w:hAnsi="Arial"/>
          <w:sz w:val="20"/>
          <w:szCs w:val="20"/>
        </w:rPr>
        <w:t>Το AISC ανά πωληθείσα ουγγιά</w:t>
      </w:r>
      <w:r w:rsidRPr="783BBF32">
        <w:rPr>
          <w:rFonts w:ascii="Arial" w:hAnsi="Arial"/>
          <w:sz w:val="20"/>
          <w:szCs w:val="20"/>
          <w:vertAlign w:val="superscript"/>
        </w:rPr>
        <w:t>(3)</w:t>
      </w:r>
      <w:r w:rsidRPr="783BBF32">
        <w:rPr>
          <w:rFonts w:ascii="Arial" w:hAnsi="Arial"/>
          <w:sz w:val="20"/>
          <w:szCs w:val="20"/>
        </w:rPr>
        <w:t xml:space="preserve"> αυξήθηκε ελαφρά σε 1.285 δολ το 2024, από 1.220 δολ. το 2023 και σε 1.226 δολ. το τέταρτο τρίμηνο του 2024 από 1.207 δολ. το τέταρτο τρίμηνο του 2023.</w:t>
      </w:r>
      <w:r w:rsidRPr="783BBF32">
        <w:rPr>
          <w:rFonts w:ascii="Arial" w:hAnsi="Arial"/>
          <w:color w:val="000000" w:themeColor="text1"/>
          <w:sz w:val="20"/>
          <w:szCs w:val="20"/>
        </w:rPr>
        <w:t xml:space="preserve"> Οι αυξήσεις σε αυτές τις δύο περιόδους αντικατοπτρίζουν το υψηλότερο σύνολο ταμειακών εξόδων ανά πωληθείσα ουγγιά, όπως παρουσιάζεται παραπάνω, ενώ η σύγκριση μεταξύ των ετών επηρεάστηκε επίσης από τις υψηλότερες κεφαλαιουχικές δαπάνες διατήρησης.</w:t>
      </w:r>
    </w:p>
    <w:p w14:paraId="4DFEB090" w14:textId="77777777" w:rsidR="00BC2819" w:rsidRPr="006753BF" w:rsidRDefault="008673D2" w:rsidP="783BBF32">
      <w:pPr>
        <w:keepNext/>
        <w:keepLines/>
        <w:widowControl w:val="0"/>
        <w:spacing w:before="120" w:line="288" w:lineRule="auto"/>
        <w:jc w:val="both"/>
        <w:rPr>
          <w:rFonts w:ascii="Arial" w:eastAsia="Arial" w:hAnsi="Arial" w:cs="Arial"/>
          <w:b/>
          <w:bCs/>
          <w:i/>
          <w:iCs/>
          <w:color w:val="000000"/>
          <w:sz w:val="20"/>
          <w:szCs w:val="20"/>
          <w:shd w:val="clear" w:color="auto" w:fill="FFFF00"/>
        </w:rPr>
      </w:pPr>
      <w:r w:rsidRPr="783BBF32">
        <w:rPr>
          <w:rFonts w:ascii="Arial" w:hAnsi="Arial"/>
          <w:sz w:val="20"/>
          <w:szCs w:val="20"/>
        </w:rPr>
        <w:t>Δημοσιεύσαμε καθαρά κέρδη αποδοτέα στους μετόχους από συνεχιζόμενες δραστηριότητες ίσα προς 300,9 εκατ. δολ. (1,48 δολ. βασικά κέρδη ανά μετοχή) το 2024 σε σύγκριση με καθαρά κέρδη 106,2 εκατ. δολ. (0,55 δολ. βασικά κέρδη ανά μετοχή) το 2023 και καθαρά κέρδη 108,2 εκατ. δολ. (0,53 δολ. βασικά κέρδη ανά μετοχή) το τέταρτο τρίμηνο του 2024, σε σύγκριση με καθαρά κέρδη 91,8 εκατ. δολ. (0,45 δολ. βασικά κέρδη ανά μετοχή) το τέταρτο τρίμηνο του 2023.</w:t>
      </w:r>
      <w:r w:rsidRPr="783BBF32">
        <w:rPr>
          <w:rFonts w:ascii="Arial" w:hAnsi="Arial"/>
          <w:color w:val="000000" w:themeColor="text1"/>
          <w:sz w:val="20"/>
          <w:szCs w:val="20"/>
        </w:rPr>
        <w:t xml:space="preserve"> </w:t>
      </w:r>
      <w:r w:rsidRPr="783BBF32">
        <w:rPr>
          <w:rFonts w:ascii="Arial" w:hAnsi="Arial"/>
          <w:sz w:val="20"/>
          <w:szCs w:val="20"/>
        </w:rPr>
        <w:t>Τα καθαρά κέρδη αυξήθηκαν το 2024 και το τέταρτο τρίμηνο του 2024, κυρίως λόγω των υψηλότερων εσόδων που προήλθαν από τις υψηλότερες τιμές χρυσού και τους υψηλότερους όγκους πωλήσεων αλλά αντισταθμίστηκαν εν μέρει από το υψηλότερο κόστος παραγωγής και τους φόρους εισοδήματος.</w:t>
      </w:r>
      <w:r w:rsidRPr="783BBF32">
        <w:rPr>
          <w:rFonts w:ascii="Arial" w:hAnsi="Arial"/>
          <w:color w:val="000000" w:themeColor="text1"/>
          <w:sz w:val="20"/>
          <w:szCs w:val="20"/>
        </w:rPr>
        <w:t xml:space="preserve"> </w:t>
      </w:r>
    </w:p>
    <w:p w14:paraId="4DFEB091" w14:textId="77777777" w:rsidR="00BC2819" w:rsidRPr="006753BF" w:rsidRDefault="008673D2" w:rsidP="783BBF32">
      <w:pPr>
        <w:keepNext/>
        <w:keepLines/>
        <w:widowControl w:val="0"/>
        <w:spacing w:before="120" w:line="288" w:lineRule="auto"/>
        <w:jc w:val="both"/>
        <w:rPr>
          <w:rFonts w:ascii="Arial" w:eastAsia="Arial" w:hAnsi="Arial" w:cs="Arial"/>
          <w:b/>
          <w:bCs/>
          <w:i/>
          <w:iCs/>
          <w:sz w:val="20"/>
          <w:szCs w:val="20"/>
        </w:rPr>
      </w:pPr>
      <w:r w:rsidRPr="783BBF32">
        <w:rPr>
          <w:rFonts w:ascii="Arial" w:hAnsi="Arial"/>
          <w:sz w:val="20"/>
          <w:szCs w:val="20"/>
        </w:rPr>
        <w:t>Τα αναπροσαρμοσμένα καθαρά κέρδη από συνεχιζόμενες δραστηριότητες</w:t>
      </w:r>
      <w:r w:rsidRPr="783BBF32">
        <w:rPr>
          <w:rFonts w:ascii="Arial" w:hAnsi="Arial"/>
          <w:sz w:val="20"/>
          <w:szCs w:val="20"/>
          <w:vertAlign w:val="superscript"/>
        </w:rPr>
        <w:t>(4)</w:t>
      </w:r>
      <w:r w:rsidRPr="783BBF32">
        <w:rPr>
          <w:rFonts w:ascii="Arial" w:hAnsi="Arial"/>
          <w:sz w:val="20"/>
          <w:szCs w:val="20"/>
        </w:rPr>
        <w:t xml:space="preserve"> ανήλθαν σε 320,7 εκατ. δολ. (1,57 δολ. ανά μετοχή) το 2024 σε σύγκριση με 110,7 εκατ. δολ. (0,57 δολ. ανά μετοχή) το 2023.</w:t>
      </w:r>
      <w:r w:rsidRPr="783BBF32">
        <w:rPr>
          <w:rFonts w:ascii="Arial" w:hAnsi="Arial"/>
          <w:color w:val="000000" w:themeColor="text1"/>
          <w:sz w:val="20"/>
          <w:szCs w:val="20"/>
        </w:rPr>
        <w:t xml:space="preserve"> </w:t>
      </w:r>
      <w:r w:rsidRPr="783BBF32">
        <w:rPr>
          <w:rFonts w:ascii="Arial" w:hAnsi="Arial"/>
          <w:sz w:val="20"/>
          <w:szCs w:val="20"/>
        </w:rPr>
        <w:t xml:space="preserve">Όσον αφορά τα αναπροσαρμοσμένα καθαρά κέρδη του 2024, διαγράφονται συναλλαγματικές ζημίες </w:t>
      </w:r>
      <w:r w:rsidRPr="783BBF32">
        <w:rPr>
          <w:rFonts w:ascii="Arial" w:hAnsi="Arial"/>
          <w:color w:val="000000" w:themeColor="text1"/>
          <w:sz w:val="20"/>
          <w:szCs w:val="20"/>
        </w:rPr>
        <w:t>14,6 εκατ. δολ. λόγω της μετατροπής των αναβαλλόμενων φορολογικών υπολοίπων, καθαρά από τα κέρδη από τους αναβαλλόμενους φόρους εισοδήματος λόγω της πληθωριστικής φορολογικής βάσης της Τουρκίας</w:t>
      </w:r>
      <w:r w:rsidRPr="783BBF32">
        <w:rPr>
          <w:rFonts w:ascii="Arial" w:hAnsi="Arial"/>
          <w:sz w:val="20"/>
          <w:szCs w:val="20"/>
        </w:rPr>
        <w:t xml:space="preserve">, μη πραγματοποιηθείσα ζημία 51,8 εκατ. δολ. </w:t>
      </w:r>
      <w:r w:rsidRPr="783BBF32">
        <w:rPr>
          <w:rFonts w:ascii="Arial" w:hAnsi="Arial"/>
          <w:color w:val="000000" w:themeColor="text1"/>
          <w:sz w:val="20"/>
          <w:szCs w:val="20"/>
        </w:rPr>
        <w:t>από παράγωγα μέσα και κέρδη μετά τους φόρους 50,1 εκατ. δολ.</w:t>
      </w:r>
      <w:r w:rsidRPr="783BBF32">
        <w:rPr>
          <w:rFonts w:ascii="Arial" w:hAnsi="Arial"/>
          <w:sz w:val="20"/>
          <w:szCs w:val="20"/>
        </w:rPr>
        <w:t xml:space="preserve"> που συνδέονται</w:t>
      </w:r>
      <w:r w:rsidRPr="783BBF32">
        <w:rPr>
          <w:rFonts w:ascii="Arial" w:hAnsi="Arial"/>
          <w:color w:val="000000" w:themeColor="text1"/>
          <w:sz w:val="20"/>
          <w:szCs w:val="20"/>
        </w:rPr>
        <w:t xml:space="preserve"> με το αναβαλλόμενο τίμημα από την πώληση του μεταλλείου</w:t>
      </w:r>
      <w:r w:rsidRPr="783BBF32">
        <w:rPr>
          <w:rFonts w:ascii="Arial" w:hAnsi="Arial"/>
          <w:sz w:val="20"/>
          <w:szCs w:val="20"/>
        </w:rPr>
        <w:t xml:space="preserve"> Tocantinzinho στην G Mining Ventures το 2021, μεταξύ άλλων.</w:t>
      </w:r>
      <w:r w:rsidRPr="783BBF32">
        <w:rPr>
          <w:rFonts w:ascii="Arial" w:hAnsi="Arial"/>
          <w:color w:val="000000" w:themeColor="text1"/>
          <w:sz w:val="20"/>
          <w:szCs w:val="20"/>
        </w:rPr>
        <w:t xml:space="preserve"> Τα αναπροσαρμοσμένα καθαρά κέρδη ήταν 127,8 εκατ. δολ. (0,62 δολ. ανά μετοχή) το τέταρτο τρίμηνο του 2024 κατόπιν αναπροσαρμογής λόγω συναλλαγματικής ζημίας 26,5 εκατ. δολ. που οφειλόταν στη μετατροπή αναβαλλόμενων φορολογικών υπολοίπων, λόγω ζημιών 5,1 εκατ. δολ. από τη μη ταμειακή αναπροσαρμογή του παραγώγου που συνδέεται με δικαιώματα προαίρεσης εξαγοράς του χρέους και λόγω μη πραγματοποιηθέντων κερδών 10,2 εκατ. δολ. από παράγωγα μέσα.</w:t>
      </w:r>
    </w:p>
    <w:p w14:paraId="4DFEB092" w14:textId="77777777" w:rsidR="00BC2819" w:rsidRPr="006753BF" w:rsidRDefault="008673D2" w:rsidP="783BBF32">
      <w:pPr>
        <w:keepNext/>
        <w:keepLines/>
        <w:widowControl w:val="0"/>
        <w:spacing w:before="120" w:line="288" w:lineRule="auto"/>
        <w:jc w:val="both"/>
        <w:rPr>
          <w:rFonts w:ascii="Arial" w:eastAsia="Arial" w:hAnsi="Arial" w:cs="Arial"/>
          <w:b/>
          <w:bCs/>
          <w:i/>
          <w:iCs/>
          <w:sz w:val="20"/>
          <w:szCs w:val="20"/>
        </w:rPr>
      </w:pPr>
      <w:r w:rsidRPr="783BBF32">
        <w:rPr>
          <w:rFonts w:ascii="Arial" w:hAnsi="Arial"/>
          <w:sz w:val="20"/>
          <w:szCs w:val="20"/>
        </w:rPr>
        <w:t>Οι υψηλότεροι όγκοι πωλήσεων το 2024, σε συνδυασμό με την υψηλότερη μέση επιτευχθείσα τιμή, κατέληξαν σε EBITDA</w:t>
      </w:r>
      <w:r w:rsidRPr="783BBF32">
        <w:rPr>
          <w:rFonts w:ascii="Arial" w:hAnsi="Arial"/>
          <w:sz w:val="20"/>
          <w:szCs w:val="20"/>
          <w:vertAlign w:val="superscript"/>
        </w:rPr>
        <w:t>(4)</w:t>
      </w:r>
      <w:r w:rsidRPr="783BBF32">
        <w:rPr>
          <w:rFonts w:ascii="Arial" w:hAnsi="Arial"/>
          <w:sz w:val="20"/>
          <w:szCs w:val="20"/>
        </w:rPr>
        <w:t xml:space="preserve"> 689,5 εκατ. δολ., συμπεριλαμβανομένου ποσού 257,2 εκατ. δολ. το τέταρτο τρίμηνο του 2024. Στο αναπροσαρμοσμένο EBITDA</w:t>
      </w:r>
      <w:r w:rsidRPr="783BBF32">
        <w:rPr>
          <w:rFonts w:ascii="Arial" w:hAnsi="Arial"/>
          <w:sz w:val="20"/>
          <w:szCs w:val="20"/>
          <w:vertAlign w:val="superscript"/>
        </w:rPr>
        <w:t>(4)</w:t>
      </w:r>
      <w:r w:rsidRPr="783BBF32">
        <w:rPr>
          <w:rFonts w:ascii="Arial" w:hAnsi="Arial"/>
          <w:sz w:val="20"/>
          <w:szCs w:val="20"/>
        </w:rPr>
        <w:t xml:space="preserve"> ύψους 691,6 εκατ. δολ. το 2024 και 246,7 εκατ. δολ. το τέταρτο τρίμηνο του 2024 δεν περιλαμβάνονται, μεταξύ άλλων, οι πληρωμές βάσει μετοχών, τα κέρδη από ενδεχόμενο αντάλλαγμα και οι ζημίες από παράγωγα μέσα.</w:t>
      </w:r>
    </w:p>
    <w:p w14:paraId="4DFEB093" w14:textId="77777777" w:rsidR="00BC2819" w:rsidRPr="006753BF" w:rsidRDefault="00BC2819">
      <w:pPr>
        <w:spacing w:line="288" w:lineRule="auto"/>
        <w:jc w:val="both"/>
        <w:rPr>
          <w:rFonts w:ascii="Arial" w:eastAsia="Arial" w:hAnsi="Arial" w:cs="Arial"/>
          <w:i/>
          <w:sz w:val="14"/>
        </w:rPr>
      </w:pPr>
    </w:p>
    <w:p w14:paraId="49C9A957" w14:textId="77777777" w:rsidR="00E377E6" w:rsidRDefault="00E377E6" w:rsidP="783BBF32">
      <w:pPr>
        <w:keepNext/>
        <w:keepLines/>
        <w:widowControl w:val="0"/>
        <w:spacing w:before="120" w:line="288" w:lineRule="auto"/>
        <w:rPr>
          <w:rFonts w:ascii="Arial" w:eastAsia="Arial" w:hAnsi="Arial" w:cs="Arial"/>
          <w:b/>
          <w:bCs/>
          <w:sz w:val="22"/>
          <w:szCs w:val="22"/>
        </w:rPr>
      </w:pPr>
      <w:r w:rsidRPr="783BBF32">
        <w:rPr>
          <w:rFonts w:ascii="Arial" w:eastAsia="Arial" w:hAnsi="Arial" w:cs="Arial"/>
          <w:b/>
          <w:bCs/>
          <w:color w:val="000000" w:themeColor="text1"/>
          <w:sz w:val="22"/>
          <w:szCs w:val="22"/>
        </w:rPr>
        <w:t xml:space="preserve">Operations Update </w:t>
      </w:r>
      <w:r w:rsidRPr="783BBF32">
        <w:rPr>
          <w:rFonts w:ascii="Arial" w:eastAsia="Arial" w:hAnsi="Arial" w:cs="Arial"/>
          <w:b/>
          <w:bCs/>
        </w:rPr>
        <w:t xml:space="preserve"> </w:t>
      </w:r>
    </w:p>
    <w:p w14:paraId="58723E67" w14:textId="77777777" w:rsidR="00E377E6" w:rsidRDefault="00E377E6" w:rsidP="00E377E6">
      <w:pPr>
        <w:keepNext/>
        <w:keepLines/>
        <w:widowControl w:val="0"/>
        <w:spacing w:before="120" w:after="120" w:line="288" w:lineRule="auto"/>
        <w:rPr>
          <w:rFonts w:ascii="Arial" w:eastAsia="Arial" w:hAnsi="Arial" w:cs="Arial"/>
          <w:b/>
          <w:sz w:val="20"/>
        </w:rPr>
      </w:pPr>
      <w:r>
        <w:rPr>
          <w:rFonts w:ascii="Arial" w:eastAsia="Arial" w:hAnsi="Arial" w:cs="Arial"/>
          <w:b/>
          <w:color w:val="000000"/>
          <w:sz w:val="20"/>
        </w:rPr>
        <w:t xml:space="preserve">Gold Operations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605"/>
        <w:gridCol w:w="1605"/>
        <w:gridCol w:w="1605"/>
        <w:gridCol w:w="1605"/>
      </w:tblGrid>
      <w:tr w:rsidR="00E377E6" w14:paraId="4FD6965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center"/>
          </w:tcPr>
          <w:p w14:paraId="31D0E06B" w14:textId="77777777" w:rsidR="00E377E6" w:rsidRDefault="00E377E6" w:rsidP="003931D5">
            <w:pPr>
              <w:keepNext/>
              <w:ind w:left="135"/>
            </w:pPr>
          </w:p>
        </w:tc>
        <w:tc>
          <w:tcPr>
            <w:tcW w:w="3210" w:type="dxa"/>
            <w:gridSpan w:val="2"/>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353E2B09" w14:textId="77777777" w:rsidR="00E377E6" w:rsidRDefault="00E377E6" w:rsidP="003931D5">
            <w:pPr>
              <w:keepNext/>
              <w:spacing w:before="33" w:after="30"/>
              <w:jc w:val="right"/>
            </w:pPr>
            <w:r w:rsidRPr="783BBF32">
              <w:rPr>
                <w:rFonts w:ascii="Arial" w:eastAsia="Arial" w:hAnsi="Arial" w:cs="Arial"/>
                <w:b/>
                <w:bCs/>
                <w:color w:val="000000" w:themeColor="text1"/>
                <w:sz w:val="16"/>
                <w:szCs w:val="16"/>
              </w:rPr>
              <w:t>3 months ended December 31,</w:t>
            </w:r>
          </w:p>
        </w:tc>
        <w:tc>
          <w:tcPr>
            <w:tcW w:w="3210" w:type="dxa"/>
            <w:gridSpan w:val="2"/>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D05BAA8" w14:textId="77777777" w:rsidR="00E377E6" w:rsidRDefault="00E377E6" w:rsidP="003931D5">
            <w:pPr>
              <w:keepNext/>
              <w:spacing w:before="33" w:after="30"/>
              <w:jc w:val="right"/>
            </w:pPr>
            <w:r w:rsidRPr="783BBF32">
              <w:rPr>
                <w:rFonts w:ascii="Arial" w:eastAsia="Arial" w:hAnsi="Arial" w:cs="Arial"/>
                <w:b/>
                <w:bCs/>
                <w:color w:val="000000" w:themeColor="text1"/>
                <w:sz w:val="16"/>
                <w:szCs w:val="16"/>
              </w:rPr>
              <w:t>12 months ended December 31,</w:t>
            </w:r>
          </w:p>
        </w:tc>
      </w:tr>
      <w:tr w:rsidR="00E377E6" w14:paraId="1E62F0F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651B914" w14:textId="77777777" w:rsidR="00E377E6" w:rsidRDefault="00E377E6" w:rsidP="003931D5">
            <w:pPr>
              <w:keepNext/>
              <w:spacing w:before="33" w:after="30"/>
            </w:pPr>
          </w:p>
        </w:tc>
        <w:tc>
          <w:tcPr>
            <w:tcW w:w="1605" w:type="dxa"/>
            <w:tcBorders>
              <w:top w:val="nil"/>
              <w:left w:val="nil"/>
              <w:bottom w:val="single" w:sz="8" w:space="0" w:color="000000" w:themeColor="text1"/>
              <w:right w:val="nil"/>
            </w:tcBorders>
            <w:shd w:val="clear" w:color="auto" w:fill="ECF8F0"/>
            <w:tcMar>
              <w:top w:w="0" w:type="dxa"/>
              <w:left w:w="0" w:type="dxa"/>
              <w:bottom w:w="0" w:type="dxa"/>
              <w:right w:w="53" w:type="dxa"/>
            </w:tcMar>
            <w:vAlign w:val="bottom"/>
          </w:tcPr>
          <w:p w14:paraId="383626AF" w14:textId="77777777" w:rsidR="00E377E6" w:rsidRDefault="00E377E6" w:rsidP="003931D5">
            <w:pPr>
              <w:keepNext/>
              <w:spacing w:before="33" w:after="30"/>
              <w:jc w:val="right"/>
            </w:pPr>
            <w:r>
              <w:rPr>
                <w:rFonts w:ascii="Arial" w:eastAsia="Arial" w:hAnsi="Arial" w:cs="Arial"/>
                <w:b/>
                <w:color w:val="000000"/>
                <w:sz w:val="16"/>
              </w:rPr>
              <w:t>2024</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1076C924" w14:textId="77777777" w:rsidR="00E377E6" w:rsidRDefault="00E377E6" w:rsidP="003931D5">
            <w:pPr>
              <w:keepNext/>
              <w:spacing w:before="33" w:after="30"/>
              <w:jc w:val="right"/>
            </w:pPr>
            <w:r>
              <w:rPr>
                <w:rFonts w:ascii="Arial" w:eastAsia="Arial" w:hAnsi="Arial" w:cs="Arial"/>
                <w:b/>
                <w:color w:val="000000"/>
                <w:sz w:val="16"/>
              </w:rPr>
              <w:t>2023</w:t>
            </w:r>
          </w:p>
        </w:tc>
        <w:tc>
          <w:tcPr>
            <w:tcW w:w="1605" w:type="dxa"/>
            <w:tcBorders>
              <w:top w:val="nil"/>
              <w:left w:val="nil"/>
              <w:bottom w:val="single" w:sz="8" w:space="0" w:color="000000" w:themeColor="text1"/>
              <w:right w:val="nil"/>
            </w:tcBorders>
            <w:shd w:val="clear" w:color="auto" w:fill="ECF8F0"/>
            <w:tcMar>
              <w:top w:w="0" w:type="dxa"/>
              <w:left w:w="0" w:type="dxa"/>
              <w:bottom w:w="0" w:type="dxa"/>
              <w:right w:w="53" w:type="dxa"/>
            </w:tcMar>
            <w:vAlign w:val="bottom"/>
          </w:tcPr>
          <w:p w14:paraId="380F1B15" w14:textId="77777777" w:rsidR="00E377E6" w:rsidRDefault="00E377E6" w:rsidP="003931D5">
            <w:pPr>
              <w:keepNext/>
              <w:spacing w:before="33" w:after="30"/>
              <w:jc w:val="right"/>
            </w:pPr>
            <w:r>
              <w:rPr>
                <w:rFonts w:ascii="Arial" w:eastAsia="Arial" w:hAnsi="Arial" w:cs="Arial"/>
                <w:b/>
                <w:color w:val="000000"/>
                <w:sz w:val="16"/>
              </w:rPr>
              <w:t>2024</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368EC687" w14:textId="77777777" w:rsidR="00E377E6" w:rsidRDefault="00E377E6" w:rsidP="003931D5">
            <w:pPr>
              <w:keepNext/>
              <w:spacing w:before="33" w:after="30"/>
              <w:jc w:val="right"/>
            </w:pPr>
            <w:r>
              <w:rPr>
                <w:rFonts w:ascii="Arial" w:eastAsia="Arial" w:hAnsi="Arial" w:cs="Arial"/>
                <w:b/>
                <w:color w:val="000000"/>
                <w:sz w:val="16"/>
              </w:rPr>
              <w:t>2023</w:t>
            </w:r>
          </w:p>
        </w:tc>
      </w:tr>
      <w:tr w:rsidR="00E377E6" w14:paraId="44E08B67"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54C368AE" w14:textId="77777777" w:rsidR="00E377E6" w:rsidRDefault="00E377E6" w:rsidP="003931D5">
            <w:pPr>
              <w:keepNext/>
              <w:spacing w:before="33" w:after="30"/>
              <w:ind w:left="135"/>
            </w:pPr>
            <w:r>
              <w:rPr>
                <w:rFonts w:ascii="Arial" w:eastAsia="Arial" w:hAnsi="Arial" w:cs="Arial"/>
                <w:b/>
                <w:color w:val="000000"/>
                <w:sz w:val="16"/>
              </w:rPr>
              <w:t>Total</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793CE7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C63F98E"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2698605"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5472197" w14:textId="77777777" w:rsidR="00E377E6" w:rsidRDefault="00E377E6" w:rsidP="003931D5">
            <w:pPr>
              <w:keepNext/>
              <w:spacing w:before="33" w:after="30"/>
            </w:pPr>
          </w:p>
        </w:tc>
      </w:tr>
      <w:tr w:rsidR="00E377E6" w14:paraId="582FE77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50B778" w14:textId="77777777" w:rsidR="00E377E6" w:rsidRDefault="00E377E6" w:rsidP="783BBF32">
            <w:pPr>
              <w:keepNext/>
              <w:spacing w:before="33" w:after="30"/>
              <w:ind w:left="90"/>
              <w:rPr>
                <w:rFonts w:ascii="Arial" w:eastAsia="Arial" w:hAnsi="Arial" w:cs="Arial"/>
                <w:sz w:val="16"/>
                <w:szCs w:val="16"/>
              </w:rPr>
            </w:pPr>
            <w:r w:rsidRPr="783BBF32">
              <w:rPr>
                <w:rFonts w:ascii="Arial" w:eastAsia="Arial" w:hAnsi="Arial" w:cs="Arial"/>
                <w:sz w:val="16"/>
                <w:szCs w:val="16"/>
              </w:rPr>
              <w:t> Ounces produced</w:t>
            </w:r>
            <w:r w:rsidRPr="783BBF32">
              <w:rPr>
                <w:rFonts w:ascii="Arial" w:eastAsia="Arial" w:hAnsi="Arial" w:cs="Arial"/>
                <w:sz w:val="16"/>
                <w:szCs w:val="16"/>
                <w:vertAlign w:val="superscript"/>
              </w:rPr>
              <w:t xml:space="preserve"> </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49B7A9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155,668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BBDB56"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143,166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DA4737"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0EABBB5"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r>
      <w:tr w:rsidR="00E377E6" w14:paraId="17E7CD3E"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0CFCE4B"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sold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29FC1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156,864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B81CCD"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144,827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35AB6F"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FE7554"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r>
      <w:tr w:rsidR="00E377E6" w14:paraId="20CB9F8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2B98011"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72DD0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$172.1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9608A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$137.6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D67722"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A5416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r>
      <w:tr w:rsidR="00E377E6" w14:paraId="6E7762A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EB4E3D3" w14:textId="77777777" w:rsidR="00E377E6" w:rsidRPr="00E377E6" w:rsidRDefault="00E377E6" w:rsidP="003931D5">
            <w:pPr>
              <w:keepNext/>
              <w:spacing w:before="33" w:after="30"/>
              <w:ind w:left="135"/>
              <w:rPr>
                <w:rFonts w:ascii="Arial" w:eastAsia="Arial" w:hAnsi="Arial" w:cs="Arial"/>
                <w:sz w:val="16"/>
                <w:lang w:val="en-US"/>
              </w:rPr>
            </w:pPr>
            <w:r w:rsidRPr="00E377E6">
              <w:rPr>
                <w:rFonts w:ascii="Arial" w:eastAsia="Arial" w:hAnsi="Arial" w:cs="Arial"/>
                <w:sz w:val="16"/>
                <w:lang w:val="en-US"/>
              </w:rPr>
              <w:t xml:space="preserve">Total cash costs ($/oz sold) </w:t>
            </w:r>
            <w:r w:rsidRPr="00E377E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94FC4E" w14:textId="77777777" w:rsidR="00E377E6" w:rsidRDefault="00E377E6" w:rsidP="003931D5">
            <w:pPr>
              <w:keepNext/>
              <w:tabs>
                <w:tab w:val="left" w:pos="1130"/>
                <w:tab w:val="left" w:pos="1537"/>
              </w:tabs>
              <w:spacing w:before="33" w:after="30"/>
              <w:jc w:val="right"/>
            </w:pPr>
            <w:r w:rsidRPr="00E377E6">
              <w:rPr>
                <w:rFonts w:ascii="Arial" w:eastAsia="Arial" w:hAnsi="Arial" w:cs="Arial"/>
                <w:color w:val="000000"/>
                <w:sz w:val="16"/>
                <w:lang w:val="en-US"/>
              </w:rPr>
              <w:tab/>
            </w:r>
            <w:r>
              <w:rPr>
                <w:rFonts w:ascii="Arial" w:eastAsia="Arial" w:hAnsi="Arial" w:cs="Arial"/>
                <w:color w:val="000000"/>
                <w:sz w:val="16"/>
              </w:rPr>
              <w:t>$944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AA01055"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$830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99F581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103EBB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r>
      <w:tr w:rsidR="00E377E6" w14:paraId="1317BB37"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10E5A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447260A"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$1,226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88B168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$1,207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EC7BD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$1,285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58649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r>
      <w:tr w:rsidR="00E377E6" w14:paraId="1A7DAF9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075F5F7" w14:textId="77777777" w:rsidR="00E377E6" w:rsidRDefault="00E377E6"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Sustaining capital expenditures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69B51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$31.0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53E05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$37.9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ED2F01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$124.3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51141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$121.8</w:t>
            </w:r>
            <w:r>
              <w:rPr>
                <w:rFonts w:ascii="Arial" w:eastAsia="Arial" w:hAnsi="Arial" w:cs="Arial"/>
                <w:color w:val="000000"/>
                <w:sz w:val="16"/>
              </w:rPr>
              <w:tab/>
            </w:r>
          </w:p>
        </w:tc>
      </w:tr>
      <w:tr w:rsidR="00E377E6" w14:paraId="040F0DC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2C72FBD" w14:textId="77777777" w:rsidR="00E377E6" w:rsidRDefault="00E377E6" w:rsidP="783BBF32">
            <w:pPr>
              <w:keepNext/>
              <w:spacing w:before="33" w:after="30"/>
              <w:ind w:left="135"/>
              <w:rPr>
                <w:rFonts w:ascii="Arial" w:eastAsia="Arial" w:hAnsi="Arial" w:cs="Arial"/>
                <w:b/>
                <w:bCs/>
                <w:color w:val="000000" w:themeColor="text1"/>
                <w:sz w:val="16"/>
                <w:szCs w:val="16"/>
              </w:rPr>
            </w:pPr>
            <w:r w:rsidRPr="783BBF32">
              <w:rPr>
                <w:rFonts w:ascii="Arial" w:eastAsia="Arial" w:hAnsi="Arial" w:cs="Arial"/>
                <w:b/>
                <w:bCs/>
                <w:color w:val="000000" w:themeColor="text1"/>
                <w:sz w:val="16"/>
                <w:szCs w:val="16"/>
              </w:rPr>
              <w:t>Kisladag</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E7F62B8"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7FAE66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F6550FB"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CE0B866" w14:textId="77777777" w:rsidR="00E377E6" w:rsidRDefault="00E377E6" w:rsidP="003931D5">
            <w:pPr>
              <w:keepNext/>
              <w:spacing w:before="33" w:after="30"/>
            </w:pPr>
          </w:p>
        </w:tc>
      </w:tr>
      <w:tr w:rsidR="00E377E6" w14:paraId="02F0027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0905459"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produced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00B7F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56,483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9F670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46,291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4197D8"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174,080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6B1AC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154,849</w:t>
            </w:r>
            <w:r>
              <w:rPr>
                <w:rFonts w:ascii="Arial" w:eastAsia="Arial" w:hAnsi="Arial" w:cs="Arial"/>
                <w:color w:val="000000"/>
                <w:sz w:val="16"/>
              </w:rPr>
              <w:tab/>
            </w:r>
          </w:p>
        </w:tc>
      </w:tr>
      <w:tr w:rsidR="00E377E6" w14:paraId="65D1DE7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9A65F8"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sold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46A86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56,056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B81318"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46,051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17416"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173,124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8F26D7"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154,456</w:t>
            </w:r>
            <w:r>
              <w:rPr>
                <w:rFonts w:ascii="Arial" w:eastAsia="Arial" w:hAnsi="Arial" w:cs="Arial"/>
                <w:color w:val="000000"/>
                <w:sz w:val="16"/>
              </w:rPr>
              <w:tab/>
            </w:r>
          </w:p>
        </w:tc>
      </w:tr>
      <w:tr w:rsidR="00E377E6" w14:paraId="366463A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F4F9B2C"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C00C61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$56.1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BB6745"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$36.1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75ADE3"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9CC5FD"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$122.8</w:t>
            </w:r>
            <w:r>
              <w:rPr>
                <w:rFonts w:ascii="Arial" w:eastAsia="Arial" w:hAnsi="Arial" w:cs="Arial"/>
                <w:color w:val="000000"/>
                <w:sz w:val="16"/>
              </w:rPr>
              <w:tab/>
            </w:r>
          </w:p>
        </w:tc>
      </w:tr>
      <w:tr w:rsidR="00E377E6" w14:paraId="355CADBC"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45021B0"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12927DD"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$978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EB3BB4"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$767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55E29E2"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$918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796D24"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$775</w:t>
            </w:r>
            <w:r>
              <w:rPr>
                <w:rFonts w:ascii="Arial" w:eastAsia="Arial" w:hAnsi="Arial" w:cs="Arial"/>
                <w:color w:val="000000"/>
                <w:sz w:val="16"/>
              </w:rPr>
              <w:tab/>
            </w:r>
          </w:p>
        </w:tc>
      </w:tr>
      <w:tr w:rsidR="00E377E6" w14:paraId="020DE12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F81CCDB"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9CB2F1"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$1,073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389A909"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$909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267DE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$1,025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6B8291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$900</w:t>
            </w:r>
            <w:r>
              <w:rPr>
                <w:rFonts w:ascii="Arial" w:eastAsia="Arial" w:hAnsi="Arial" w:cs="Arial"/>
                <w:color w:val="000000"/>
                <w:sz w:val="16"/>
              </w:rPr>
              <w:tab/>
            </w:r>
          </w:p>
        </w:tc>
      </w:tr>
      <w:tr w:rsidR="00E377E6" w14:paraId="54E60F0B"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9826D2D" w14:textId="77777777" w:rsidR="00E377E6" w:rsidRDefault="00E377E6"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Sustaining capital expenditures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A34E69"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$3.8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03F4AD"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$5.6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9CE6537"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E0DDD0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$16.0</w:t>
            </w:r>
            <w:r>
              <w:rPr>
                <w:rFonts w:ascii="Arial" w:eastAsia="Arial" w:hAnsi="Arial" w:cs="Arial"/>
                <w:color w:val="000000"/>
                <w:sz w:val="16"/>
              </w:rPr>
              <w:tab/>
            </w:r>
          </w:p>
        </w:tc>
      </w:tr>
      <w:tr w:rsidR="00E377E6" w14:paraId="0792D5E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8DBF23D" w14:textId="77777777" w:rsidR="00E377E6" w:rsidRDefault="00E377E6" w:rsidP="783BBF32">
            <w:pPr>
              <w:keepNext/>
              <w:spacing w:before="33" w:after="30"/>
              <w:ind w:left="135"/>
              <w:rPr>
                <w:rFonts w:ascii="Arial" w:eastAsia="Arial" w:hAnsi="Arial" w:cs="Arial"/>
                <w:b/>
                <w:bCs/>
                <w:color w:val="000000" w:themeColor="text1"/>
                <w:sz w:val="16"/>
                <w:szCs w:val="16"/>
              </w:rPr>
            </w:pPr>
            <w:r w:rsidRPr="783BBF32">
              <w:rPr>
                <w:rFonts w:ascii="Arial" w:eastAsia="Arial" w:hAnsi="Arial" w:cs="Arial"/>
                <w:b/>
                <w:bCs/>
                <w:color w:val="000000" w:themeColor="text1"/>
                <w:sz w:val="16"/>
                <w:szCs w:val="16"/>
              </w:rPr>
              <w:t>Lamaque</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8E8CE7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644E5C6"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2FA829"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B52EE76" w14:textId="77777777" w:rsidR="00E377E6" w:rsidRDefault="00E377E6" w:rsidP="003931D5">
            <w:pPr>
              <w:keepNext/>
              <w:spacing w:before="33" w:after="30"/>
            </w:pPr>
          </w:p>
        </w:tc>
      </w:tr>
      <w:tr w:rsidR="00E377E6" w14:paraId="60FCE3BE"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7239DE9"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produced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6DBB9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63,742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C1DEA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56,619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86935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196,538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5D03E90"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177,069</w:t>
            </w:r>
            <w:r>
              <w:rPr>
                <w:rFonts w:ascii="Arial" w:eastAsia="Arial" w:hAnsi="Arial" w:cs="Arial"/>
                <w:color w:val="000000"/>
                <w:sz w:val="16"/>
              </w:rPr>
              <w:tab/>
            </w:r>
          </w:p>
        </w:tc>
      </w:tr>
      <w:tr w:rsidR="00E377E6" w14:paraId="118A0AC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0B9D5A0"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sold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4540A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61,894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CE253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57,040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27704C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194,670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FE1C2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176,495</w:t>
            </w:r>
            <w:r>
              <w:rPr>
                <w:rFonts w:ascii="Arial" w:eastAsia="Arial" w:hAnsi="Arial" w:cs="Arial"/>
                <w:color w:val="000000"/>
                <w:sz w:val="16"/>
              </w:rPr>
              <w:tab/>
            </w:r>
          </w:p>
        </w:tc>
      </w:tr>
      <w:tr w:rsidR="00E377E6" w14:paraId="45304D3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7CC90F7"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E24CA9"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$38.7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A3F63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2886F3"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$140.3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CDE75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$119.5</w:t>
            </w:r>
            <w:r>
              <w:rPr>
                <w:rFonts w:ascii="Arial" w:eastAsia="Arial" w:hAnsi="Arial" w:cs="Arial"/>
                <w:color w:val="000000"/>
                <w:sz w:val="16"/>
              </w:rPr>
              <w:tab/>
            </w:r>
          </w:p>
        </w:tc>
      </w:tr>
      <w:tr w:rsidR="00E377E6" w14:paraId="53BB06F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90E3C2C"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2748FC"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$615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27E60F"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$606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B18040"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$711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91F6EF"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$667</w:t>
            </w:r>
            <w:r>
              <w:rPr>
                <w:rFonts w:ascii="Arial" w:eastAsia="Arial" w:hAnsi="Arial" w:cs="Arial"/>
                <w:color w:val="000000"/>
                <w:sz w:val="16"/>
              </w:rPr>
              <w:tab/>
            </w:r>
          </w:p>
        </w:tc>
      </w:tr>
      <w:tr w:rsidR="00E377E6" w14:paraId="3995BD5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06166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99658DE"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$933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DC0241"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$977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4F6DF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$1,134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3BCF8A"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$1,089</w:t>
            </w:r>
            <w:r>
              <w:rPr>
                <w:rFonts w:ascii="Arial" w:eastAsia="Arial" w:hAnsi="Arial" w:cs="Arial"/>
                <w:color w:val="000000"/>
                <w:sz w:val="16"/>
              </w:rPr>
              <w:tab/>
            </w:r>
          </w:p>
        </w:tc>
      </w:tr>
      <w:tr w:rsidR="00E377E6" w14:paraId="65519F8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08EAFFE" w14:textId="77777777" w:rsidR="00E377E6" w:rsidRDefault="00E377E6"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Sustaining capital expenditures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D026BE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$19.2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0F170F4"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$20.7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870ECA"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$80.3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4F4687"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$72.7</w:t>
            </w:r>
            <w:r>
              <w:rPr>
                <w:rFonts w:ascii="Arial" w:eastAsia="Arial" w:hAnsi="Arial" w:cs="Arial"/>
                <w:color w:val="000000"/>
                <w:sz w:val="16"/>
              </w:rPr>
              <w:tab/>
            </w:r>
          </w:p>
        </w:tc>
      </w:tr>
      <w:tr w:rsidR="00E377E6" w14:paraId="53E76E3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760F873" w14:textId="77777777" w:rsidR="00E377E6" w:rsidRDefault="00E377E6" w:rsidP="783BBF32">
            <w:pPr>
              <w:keepNext/>
              <w:spacing w:before="33" w:after="30"/>
              <w:ind w:left="135"/>
              <w:rPr>
                <w:rFonts w:ascii="Arial" w:eastAsia="Arial" w:hAnsi="Arial" w:cs="Arial"/>
                <w:b/>
                <w:bCs/>
                <w:color w:val="000000" w:themeColor="text1"/>
                <w:sz w:val="16"/>
                <w:szCs w:val="16"/>
              </w:rPr>
            </w:pPr>
            <w:r w:rsidRPr="783BBF32">
              <w:rPr>
                <w:rFonts w:ascii="Arial" w:eastAsia="Arial" w:hAnsi="Arial" w:cs="Arial"/>
                <w:b/>
                <w:bCs/>
                <w:color w:val="000000" w:themeColor="text1"/>
                <w:sz w:val="16"/>
                <w:szCs w:val="16"/>
              </w:rPr>
              <w:t>Efemcukuru</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E280C6D"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5171715C"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816C65E"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CC4C5DC" w14:textId="77777777" w:rsidR="00E377E6" w:rsidRDefault="00E377E6" w:rsidP="003931D5">
            <w:pPr>
              <w:keepNext/>
              <w:spacing w:before="33" w:after="30"/>
            </w:pPr>
          </w:p>
        </w:tc>
      </w:tr>
      <w:tr w:rsidR="00E377E6" w14:paraId="153EFF3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07C70B9"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produced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FD584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19,451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2F7095"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22,374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FEDC2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80,143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5147D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86,088</w:t>
            </w:r>
            <w:r>
              <w:rPr>
                <w:rFonts w:ascii="Arial" w:eastAsia="Arial" w:hAnsi="Arial" w:cs="Arial"/>
                <w:color w:val="000000"/>
                <w:sz w:val="16"/>
              </w:rPr>
              <w:tab/>
            </w:r>
          </w:p>
        </w:tc>
      </w:tr>
      <w:tr w:rsidR="00E377E6" w14:paraId="3422F23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CD1CC94"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sold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A21D5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19,185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4B4DD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22,497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F631C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80,002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DFB4A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86,078</w:t>
            </w:r>
            <w:r>
              <w:rPr>
                <w:rFonts w:ascii="Arial" w:eastAsia="Arial" w:hAnsi="Arial" w:cs="Arial"/>
                <w:color w:val="000000"/>
                <w:sz w:val="16"/>
              </w:rPr>
              <w:tab/>
            </w:r>
          </w:p>
        </w:tc>
      </w:tr>
      <w:tr w:rsidR="00E377E6" w14:paraId="40433EF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BB2151F"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E11F8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$26.9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825828"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$21.4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7CA429"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$99.9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B2AA7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$80.1</w:t>
            </w:r>
            <w:r>
              <w:rPr>
                <w:rFonts w:ascii="Arial" w:eastAsia="Arial" w:hAnsi="Arial" w:cs="Arial"/>
                <w:color w:val="000000"/>
                <w:sz w:val="16"/>
              </w:rPr>
              <w:tab/>
            </w:r>
          </w:p>
        </w:tc>
      </w:tr>
      <w:tr w:rsidR="00E377E6" w14:paraId="06463EC4"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ED3ADE5"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C3296B"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$1,376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18D831"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$973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2AC656"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$1,231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07B8B8"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$954</w:t>
            </w:r>
            <w:r>
              <w:rPr>
                <w:rFonts w:ascii="Arial" w:eastAsia="Arial" w:hAnsi="Arial" w:cs="Arial"/>
                <w:color w:val="000000"/>
                <w:sz w:val="16"/>
              </w:rPr>
              <w:tab/>
            </w:r>
          </w:p>
        </w:tc>
      </w:tr>
      <w:tr w:rsidR="00E377E6" w14:paraId="0801A123"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FE2A976"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58BFFEA"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$1,650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6E58B0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$1,201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F12546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$1,411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3D696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$1,154</w:t>
            </w:r>
            <w:r>
              <w:rPr>
                <w:rFonts w:ascii="Arial" w:eastAsia="Arial" w:hAnsi="Arial" w:cs="Arial"/>
                <w:color w:val="000000"/>
                <w:sz w:val="16"/>
              </w:rPr>
              <w:tab/>
            </w:r>
          </w:p>
        </w:tc>
      </w:tr>
      <w:tr w:rsidR="00E377E6" w14:paraId="71E0159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18F73D6" w14:textId="77777777" w:rsidR="00E377E6" w:rsidRDefault="00E377E6"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Sustaining capital expenditures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75BB475"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26AC91"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$4.4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B71C2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$15.9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BEF595"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$14.0</w:t>
            </w:r>
            <w:r>
              <w:rPr>
                <w:rFonts w:ascii="Arial" w:eastAsia="Arial" w:hAnsi="Arial" w:cs="Arial"/>
                <w:color w:val="000000"/>
                <w:sz w:val="16"/>
              </w:rPr>
              <w:tab/>
            </w:r>
          </w:p>
        </w:tc>
      </w:tr>
      <w:tr w:rsidR="00E377E6" w14:paraId="01DF817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A83D9C" w14:textId="77777777" w:rsidR="00E377E6" w:rsidRDefault="00E377E6" w:rsidP="783BBF32">
            <w:pPr>
              <w:keepNext/>
              <w:spacing w:before="33" w:after="30"/>
              <w:ind w:left="135"/>
              <w:rPr>
                <w:rFonts w:ascii="Arial" w:eastAsia="Arial" w:hAnsi="Arial" w:cs="Arial"/>
                <w:b/>
                <w:bCs/>
                <w:color w:val="000000" w:themeColor="text1"/>
                <w:sz w:val="16"/>
                <w:szCs w:val="16"/>
              </w:rPr>
            </w:pPr>
            <w:r w:rsidRPr="783BBF32">
              <w:rPr>
                <w:rFonts w:ascii="Arial" w:eastAsia="Arial" w:hAnsi="Arial" w:cs="Arial"/>
                <w:b/>
                <w:bCs/>
                <w:color w:val="000000" w:themeColor="text1"/>
                <w:sz w:val="16"/>
                <w:szCs w:val="16"/>
              </w:rPr>
              <w:t>Olympias</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D504CBC"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C9C9194"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D89A6F9"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4D74784" w14:textId="77777777" w:rsidR="00E377E6" w:rsidRDefault="00E377E6" w:rsidP="003931D5">
            <w:pPr>
              <w:keepNext/>
              <w:spacing w:before="33" w:after="30"/>
            </w:pPr>
          </w:p>
        </w:tc>
      </w:tr>
      <w:tr w:rsidR="00E377E6" w14:paraId="1F16841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676D5CC"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produced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F4E0F5"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15,992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66EC8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17,882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F8BA7A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69,532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AB20C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67,133</w:t>
            </w:r>
            <w:r>
              <w:rPr>
                <w:rFonts w:ascii="Arial" w:eastAsia="Arial" w:hAnsi="Arial" w:cs="Arial"/>
                <w:color w:val="000000"/>
                <w:sz w:val="16"/>
              </w:rPr>
              <w:tab/>
            </w:r>
          </w:p>
        </w:tc>
      </w:tr>
      <w:tr w:rsidR="00E377E6" w14:paraId="3BAA606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DD50BCA"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Ounces sold</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32242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19,729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A1582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19,239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009F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70,130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4C1AB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66,949</w:t>
            </w:r>
            <w:r>
              <w:rPr>
                <w:rFonts w:ascii="Arial" w:eastAsia="Arial" w:hAnsi="Arial" w:cs="Arial"/>
                <w:color w:val="000000"/>
                <w:sz w:val="16"/>
              </w:rPr>
              <w:tab/>
            </w:r>
          </w:p>
        </w:tc>
      </w:tr>
      <w:tr w:rsidR="00E377E6" w14:paraId="669242B3"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2407163" w14:textId="77777777" w:rsidR="00E377E6" w:rsidRDefault="00E377E6"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Production costs</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4A9803"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$50.4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B69C02"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$44.9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58BC84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$161.3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90081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$156.5</w:t>
            </w:r>
            <w:r>
              <w:rPr>
                <w:rFonts w:ascii="Arial" w:eastAsia="Arial" w:hAnsi="Arial" w:cs="Arial"/>
                <w:color w:val="000000"/>
                <w:sz w:val="16"/>
              </w:rPr>
              <w:tab/>
            </w:r>
          </w:p>
        </w:tc>
      </w:tr>
      <w:tr w:rsidR="00E377E6" w14:paraId="2E568F64"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415B4A8"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C04C87"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$1,463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44931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$1,478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CA933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$1,304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7FA7D6"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$1,369</w:t>
            </w:r>
            <w:r>
              <w:rPr>
                <w:rFonts w:ascii="Arial" w:eastAsia="Arial" w:hAnsi="Arial" w:cs="Arial"/>
                <w:color w:val="000000"/>
                <w:sz w:val="16"/>
              </w:rPr>
              <w:tab/>
            </w:r>
          </w:p>
        </w:tc>
      </w:tr>
      <w:tr w:rsidR="00E377E6" w14:paraId="5C41BDF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C7B03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C0135D"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$1,669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FB3810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$1,872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6A6DE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$1,562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07B1ED"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$1,688</w:t>
            </w:r>
            <w:r>
              <w:rPr>
                <w:rFonts w:ascii="Arial" w:eastAsia="Arial" w:hAnsi="Arial" w:cs="Arial"/>
                <w:color w:val="000000"/>
                <w:sz w:val="16"/>
              </w:rPr>
              <w:tab/>
            </w:r>
          </w:p>
        </w:tc>
      </w:tr>
      <w:tr w:rsidR="00E377E6" w14:paraId="366660EB"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121AA02" w14:textId="77777777" w:rsidR="00E377E6" w:rsidRDefault="00E377E6"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Sustaining capital expenditures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84038A" w14:textId="77777777" w:rsidR="00E377E6" w:rsidRDefault="00E377E6" w:rsidP="003931D5">
            <w:pPr>
              <w:tabs>
                <w:tab w:val="left" w:pos="1175"/>
                <w:tab w:val="left" w:pos="1537"/>
              </w:tabs>
              <w:spacing w:before="33" w:after="30"/>
              <w:jc w:val="right"/>
            </w:pPr>
            <w:r>
              <w:rPr>
                <w:rFonts w:ascii="Arial" w:eastAsia="Arial" w:hAnsi="Arial" w:cs="Arial"/>
                <w:color w:val="000000"/>
                <w:sz w:val="16"/>
              </w:rPr>
              <w:tab/>
              <w:t>$2.9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88A5CA" w14:textId="77777777" w:rsidR="00E377E6" w:rsidRDefault="00E377E6" w:rsidP="003931D5">
            <w:pPr>
              <w:tabs>
                <w:tab w:val="left" w:pos="1175"/>
                <w:tab w:val="left" w:pos="1537"/>
              </w:tabs>
              <w:spacing w:before="33" w:after="30"/>
              <w:jc w:val="right"/>
            </w:pPr>
            <w:r>
              <w:rPr>
                <w:rFonts w:ascii="Arial" w:eastAsia="Arial" w:hAnsi="Arial" w:cs="Arial"/>
                <w:color w:val="000000"/>
                <w:sz w:val="16"/>
              </w:rPr>
              <w:tab/>
              <w:t>$7.2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4D1C5C" w14:textId="77777777" w:rsidR="00E377E6" w:rsidRDefault="00E377E6" w:rsidP="003931D5">
            <w:pPr>
              <w:tabs>
                <w:tab w:val="left" w:pos="1086"/>
                <w:tab w:val="left" w:pos="1537"/>
              </w:tabs>
              <w:spacing w:before="33" w:after="30"/>
              <w:jc w:val="right"/>
            </w:pPr>
            <w:r>
              <w:rPr>
                <w:rFonts w:ascii="Arial" w:eastAsia="Arial" w:hAnsi="Arial" w:cs="Arial"/>
                <w:color w:val="000000"/>
                <w:sz w:val="16"/>
              </w:rPr>
              <w:tab/>
              <w:t>$15.4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45D76D" w14:textId="77777777" w:rsidR="00E377E6" w:rsidRDefault="00E377E6" w:rsidP="003931D5">
            <w:pPr>
              <w:tabs>
                <w:tab w:val="left" w:pos="1086"/>
                <w:tab w:val="left" w:pos="1537"/>
              </w:tabs>
              <w:spacing w:before="33" w:after="30"/>
              <w:jc w:val="right"/>
            </w:pPr>
            <w:r>
              <w:rPr>
                <w:rFonts w:ascii="Arial" w:eastAsia="Arial" w:hAnsi="Arial" w:cs="Arial"/>
                <w:color w:val="000000"/>
                <w:sz w:val="16"/>
              </w:rPr>
              <w:tab/>
              <w:t>$19.0</w:t>
            </w:r>
            <w:r>
              <w:rPr>
                <w:rFonts w:ascii="Arial" w:eastAsia="Arial" w:hAnsi="Arial" w:cs="Arial"/>
                <w:color w:val="000000"/>
                <w:sz w:val="16"/>
              </w:rPr>
              <w:tab/>
            </w:r>
          </w:p>
        </w:tc>
      </w:tr>
    </w:tbl>
    <w:p w14:paraId="10A0D5A4" w14:textId="77777777" w:rsidR="00E377E6" w:rsidRPr="00C20406" w:rsidRDefault="00E377E6" w:rsidP="00E377E6">
      <w:pPr>
        <w:numPr>
          <w:ilvl w:val="0"/>
          <w:numId w:val="58"/>
        </w:numPr>
        <w:spacing w:before="60" w:line="288" w:lineRule="auto"/>
        <w:rPr>
          <w:rFonts w:ascii="Arial" w:eastAsia="Arial" w:hAnsi="Arial" w:cs="Arial"/>
          <w:i/>
          <w:sz w:val="14"/>
          <w:lang w:val="en-US"/>
        </w:rPr>
      </w:pPr>
      <w:r w:rsidRPr="00C20406">
        <w:rPr>
          <w:rFonts w:ascii="Arial" w:eastAsia="Arial" w:hAnsi="Arial" w:cs="Arial"/>
          <w:i/>
          <w:color w:val="000000"/>
          <w:sz w:val="14"/>
          <w:lang w:val="en-US"/>
        </w:rPr>
        <w:t>Revenues from silver, lead and zinc sales are off-set against total cash costs.</w:t>
      </w:r>
    </w:p>
    <w:p w14:paraId="0530A5E3" w14:textId="77777777" w:rsidR="00E377E6" w:rsidRPr="00C20406" w:rsidRDefault="00E377E6" w:rsidP="00E377E6">
      <w:pPr>
        <w:numPr>
          <w:ilvl w:val="0"/>
          <w:numId w:val="59"/>
        </w:numPr>
        <w:spacing w:before="20" w:line="288" w:lineRule="auto"/>
        <w:rPr>
          <w:rFonts w:ascii="Arial" w:eastAsia="Arial" w:hAnsi="Arial" w:cs="Arial"/>
          <w:i/>
          <w:sz w:val="14"/>
          <w:lang w:val="en-US"/>
        </w:rPr>
      </w:pPr>
      <w:r w:rsidRPr="00C20406">
        <w:rPr>
          <w:rFonts w:ascii="Arial" w:eastAsia="Arial" w:hAnsi="Arial" w:cs="Arial"/>
          <w:i/>
          <w:color w:val="000000"/>
          <w:sz w:val="14"/>
          <w:lang w:val="en-US"/>
        </w:rPr>
        <w:t>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2024 MD&amp;A.</w:t>
      </w:r>
    </w:p>
    <w:p w14:paraId="4DFEB174" w14:textId="77777777" w:rsidR="00BC2819" w:rsidRPr="00086E54" w:rsidRDefault="00BC2819">
      <w:pPr>
        <w:spacing w:line="288" w:lineRule="auto"/>
        <w:rPr>
          <w:rFonts w:ascii="Arial" w:eastAsia="Arial" w:hAnsi="Arial" w:cs="Arial"/>
          <w:b/>
          <w:i/>
          <w:sz w:val="14"/>
          <w:vertAlign w:val="superscript"/>
          <w:lang w:val="en-US"/>
        </w:rPr>
      </w:pPr>
    </w:p>
    <w:p w14:paraId="4DFEB175" w14:textId="77777777" w:rsidR="00BC2819" w:rsidRPr="006753BF" w:rsidRDefault="00BC2819">
      <w:pPr>
        <w:spacing w:line="288" w:lineRule="auto"/>
        <w:rPr>
          <w:rFonts w:ascii="Arial" w:eastAsia="Arial" w:hAnsi="Arial" w:cs="Arial"/>
          <w:b/>
          <w:i/>
          <w:sz w:val="14"/>
          <w:vertAlign w:val="superscript"/>
          <w:lang w:val="en-US"/>
        </w:rPr>
      </w:pPr>
    </w:p>
    <w:p w14:paraId="4DFEB176" w14:textId="77777777" w:rsidR="00BC2819" w:rsidRPr="006753BF" w:rsidRDefault="008673D2">
      <w:pPr>
        <w:keepNext/>
        <w:keepLines/>
        <w:widowControl w:val="0"/>
        <w:spacing w:before="120" w:line="288" w:lineRule="auto"/>
        <w:jc w:val="both"/>
        <w:rPr>
          <w:rFonts w:ascii="Arial" w:eastAsia="Arial" w:hAnsi="Arial" w:cs="Arial"/>
          <w:b/>
          <w:color w:val="000000"/>
          <w:sz w:val="20"/>
          <w:shd w:val="clear" w:color="auto" w:fill="FFFF00"/>
        </w:rPr>
      </w:pPr>
      <w:r w:rsidRPr="006753BF">
        <w:rPr>
          <w:rFonts w:ascii="Arial" w:hAnsi="Arial"/>
          <w:b/>
          <w:sz w:val="20"/>
        </w:rPr>
        <w:t>Ολυμπιάδα</w:t>
      </w:r>
    </w:p>
    <w:p w14:paraId="4DFEB177" w14:textId="77777777" w:rsidR="00BC2819" w:rsidRPr="006753BF" w:rsidRDefault="008673D2" w:rsidP="783BBF32">
      <w:pPr>
        <w:spacing w:before="180" w:line="288" w:lineRule="auto"/>
        <w:jc w:val="both"/>
        <w:rPr>
          <w:rFonts w:ascii="Arial" w:eastAsia="Arial" w:hAnsi="Arial" w:cs="Arial"/>
          <w:b/>
          <w:bCs/>
          <w:i/>
          <w:iCs/>
          <w:color w:val="EE2724"/>
          <w:sz w:val="23"/>
          <w:szCs w:val="23"/>
          <w:shd w:val="clear" w:color="auto" w:fill="FFFFFF"/>
        </w:rPr>
      </w:pPr>
      <w:r w:rsidRPr="783BBF32">
        <w:rPr>
          <w:rFonts w:ascii="Arial" w:hAnsi="Arial"/>
          <w:color w:val="000000" w:themeColor="text1"/>
          <w:sz w:val="20"/>
          <w:szCs w:val="20"/>
        </w:rPr>
        <w:t xml:space="preserve">Η παραγωγή της Ολυμπιάδας ανήλθε σε 69.532 ουγγιές χρυσού το 2024, σημειώνοντας αύξηση 4% από 67.133 ουγγιές το 2023, αποτυπώνοντας κυρίως την υψηλότερη μέση περιεκτικότητα σε χρυσό κατά τη διάρκεια του έτους. </w:t>
      </w:r>
      <w:r w:rsidRPr="783BBF32">
        <w:rPr>
          <w:rFonts w:ascii="Arial" w:hAnsi="Arial"/>
          <w:sz w:val="20"/>
          <w:szCs w:val="20"/>
        </w:rPr>
        <w:t>Η συνολική παραγωγή το 2024 ήταν ελαφρώς χαμηλότερη από το 2023 λόγω της διακοπής λειτουργίας του εξοπλισμού των μονάδων το τέταρτο τρίμηνο του 2024 και των διακοπών εργασίας το δεύτερο τρίμηνο του 2024. Ωστόσο, αυτά σχεδόν αντισταθμίστηκαν πλήρως από την αποδοτικότερη παραγωγή.</w:t>
      </w:r>
      <w:r w:rsidRPr="783BBF32">
        <w:rPr>
          <w:rFonts w:ascii="Arial" w:hAnsi="Arial"/>
          <w:color w:val="000000" w:themeColor="text1"/>
          <w:sz w:val="20"/>
          <w:szCs w:val="20"/>
        </w:rPr>
        <w:t xml:space="preserve"> </w:t>
      </w:r>
      <w:r w:rsidRPr="783BBF32">
        <w:rPr>
          <w:rFonts w:ascii="Arial" w:hAnsi="Arial"/>
          <w:sz w:val="20"/>
          <w:szCs w:val="20"/>
        </w:rPr>
        <w:t>Η παραγωγή χρυσού 15.992 ουγγιών το τέταρτο τρίμηνο του 2024 μειώθηκε από 17.882 ουγγιές το τέταρτο τρίμηνο του 2023 λόγω της ελαφρά χαμηλότερης συνολικής παραγωγής και της χαμηλότερης περιεκτικότητας σε χρυσό εντός του τριμήνου.</w:t>
      </w:r>
      <w:r w:rsidRPr="783BBF32">
        <w:rPr>
          <w:rFonts w:ascii="Arial" w:hAnsi="Arial"/>
          <w:color w:val="000000" w:themeColor="text1"/>
          <w:sz w:val="20"/>
          <w:szCs w:val="20"/>
        </w:rPr>
        <w:t xml:space="preserve"> Η χαμηλότερη συνολική παραγωγή ήταν απόρροια της προγραμματισμένης διακοπής λειτουργίας του εξοπλισμού και της μη προγραμματισμένης συντήρησης που αφορούσε τις φιλτρόπρεσσες συμπυκνώματος χρυσού και επηρέασε αρνητικά την παραγωγή του μύλου θραύσης. Στη διάρκεια της περιόδου, αυξήθηκε η παραγωγή μολύβδου και αργύρου σε σύγκριση με το τέταρτο τρίμηνο του 2023, αποτυπώνοντας κυρίως την υψηλότερη περιεκτικότητα.</w:t>
      </w:r>
    </w:p>
    <w:p w14:paraId="4DFEB178" w14:textId="77777777" w:rsidR="00BC2819" w:rsidRPr="006753BF" w:rsidRDefault="008673D2" w:rsidP="783BBF32">
      <w:pPr>
        <w:spacing w:before="120" w:line="288" w:lineRule="auto"/>
        <w:jc w:val="both"/>
        <w:rPr>
          <w:rFonts w:ascii="Arial" w:eastAsia="Arial" w:hAnsi="Arial" w:cs="Arial"/>
          <w:i/>
          <w:iCs/>
          <w:color w:val="EE2724"/>
          <w:sz w:val="23"/>
          <w:szCs w:val="23"/>
          <w:shd w:val="clear" w:color="auto" w:fill="FFFFFF"/>
        </w:rPr>
      </w:pPr>
      <w:r w:rsidRPr="783BBF32">
        <w:rPr>
          <w:rFonts w:ascii="Arial" w:hAnsi="Arial"/>
          <w:sz w:val="20"/>
          <w:szCs w:val="20"/>
        </w:rPr>
        <w:t>Τα έσοδα αυξήθηκαν σε 226,2 εκατ. δολ. το 2024 από 186,8 εκατ. δολ. το 2023 και αυξήθηκαν σε 69,3 εκατ. δολ. το τέταρτο τρίμηνο του 2024 από 52,4 εκατ. δολ. το τέταρτο τρίμηνο του 2023, ως απόρροια της υψηλότερης μέσης επιτευχθείσας τιμής χρυσού και των ελαφρώς υψηλότερων όγκων πωλήσεων στις δύο περιόδους.</w:t>
      </w:r>
      <w:r w:rsidRPr="783BBF32">
        <w:rPr>
          <w:rFonts w:ascii="Arial" w:hAnsi="Arial"/>
          <w:color w:val="000000" w:themeColor="text1"/>
          <w:sz w:val="20"/>
          <w:szCs w:val="20"/>
        </w:rPr>
        <w:t xml:space="preserve"> </w:t>
      </w:r>
    </w:p>
    <w:p w14:paraId="4DFEB179" w14:textId="77777777" w:rsidR="00BC2819" w:rsidRPr="006753BF" w:rsidRDefault="008673D2" w:rsidP="783BBF32">
      <w:pPr>
        <w:spacing w:before="120" w:line="288" w:lineRule="auto"/>
        <w:jc w:val="both"/>
        <w:rPr>
          <w:rFonts w:ascii="Arial" w:eastAsia="Arial" w:hAnsi="Arial" w:cs="Arial"/>
          <w:b/>
          <w:bCs/>
          <w:i/>
          <w:iCs/>
          <w:color w:val="EE2724"/>
          <w:sz w:val="23"/>
          <w:szCs w:val="23"/>
          <w:shd w:val="clear" w:color="auto" w:fill="FFFF00"/>
        </w:rPr>
      </w:pPr>
      <w:r w:rsidRPr="783BBF32">
        <w:rPr>
          <w:rFonts w:ascii="Arial" w:hAnsi="Arial"/>
          <w:color w:val="000000" w:themeColor="text1"/>
          <w:sz w:val="20"/>
          <w:szCs w:val="20"/>
        </w:rPr>
        <w:t xml:space="preserve">Το κόστος παραγωγής αυξήθηκε ελαφρά σε 161,3 εκατ. δολ. το 2024 από 156,5 εκατ. δολ. το 2023 και σε 50,4 εκατ. δολ. το τέταρτο τρίμηνο του 2024 από 44,9 εκατ. δολ. το τέταρτο τρίμηνο του 2023. Οι αυξήσεις στις δύο περιόδους αντικατοπτρίζουν το υψηλότερο κόστος εργασίας και τα υψηλότερα δικαιώματα εκμετάλλευσης που οφείλονταν στις υψηλότερες επιτευχθείσες τιμές χρυσού και στις περισσότερες πωληθείσες ουγγιές χρυσού. Ωστόσο, τα υψηλότερα έσοδα από βασικά μέταλλα αντιστάθμισαν εν μέρει το υψηλότερο μοναδιαίο κόστος και, ως επακόλουθο, τα συνολικά ταμειακά έξοδα ανά πωληθείσα ουγγιά μειώθηκαν ελαφρά μέσα στο έτος και το τρίμηνο σε σύγκριση με το 2023. </w:t>
      </w:r>
    </w:p>
    <w:p w14:paraId="4DFEB17A" w14:textId="77777777" w:rsidR="00BC2819" w:rsidRPr="006753BF" w:rsidRDefault="008673D2" w:rsidP="783BBF32">
      <w:pPr>
        <w:spacing w:before="120" w:line="288" w:lineRule="auto"/>
        <w:jc w:val="both"/>
        <w:rPr>
          <w:rFonts w:ascii="Arial" w:eastAsia="Arial" w:hAnsi="Arial" w:cs="Arial"/>
          <w:b/>
          <w:bCs/>
          <w:i/>
          <w:iCs/>
          <w:color w:val="EE2724"/>
          <w:sz w:val="23"/>
          <w:szCs w:val="23"/>
          <w:shd w:val="clear" w:color="auto" w:fill="FFFFFF"/>
        </w:rPr>
      </w:pPr>
      <w:r w:rsidRPr="783BBF32">
        <w:rPr>
          <w:rFonts w:ascii="Arial" w:hAnsi="Arial"/>
          <w:color w:val="000000" w:themeColor="text1"/>
          <w:sz w:val="20"/>
          <w:szCs w:val="20"/>
        </w:rPr>
        <w:t>Οι κεφαλαιουχικές δαπάνες διατήρησης της παραγωγής μειώθηκαν σε 15,4 εκατ. δολ. το 2024 από 19,0 εκατ. δολ. το 2023 και σε 2,9 εκατ. δολ. το τέταρτο τρίμηνο του 2024 από 7,2 εκατ. δολ. το τέταρτο τρίμηνο του 2023. Οι δαπάνες των δύο περιόδων περιλάμβαναν κυρίως την υπόγεια ανάπτυξη και βελτιώσεις στις υπόγειες υποδομές. Οι επενδύσεις κεφαλαίου ανάπτυξης το 2024 αφορούν στοιχεία με μεγάλη διάρκεια παράδοσης για την επέκταση σε 650 χιλιάδες τόνους/ετησίως και την υπόγεια ανάπτυξη.</w:t>
      </w:r>
    </w:p>
    <w:p w14:paraId="4DFEB17B" w14:textId="77777777" w:rsidR="00BC2819" w:rsidRPr="006753BF" w:rsidRDefault="008673D2">
      <w:pPr>
        <w:pageBreakBefore/>
        <w:spacing w:line="288" w:lineRule="auto"/>
        <w:jc w:val="both"/>
        <w:rPr>
          <w:rFonts w:ascii="Arial" w:eastAsia="Arial" w:hAnsi="Arial" w:cs="Arial"/>
          <w:b/>
          <w:i/>
          <w:color w:val="000000"/>
          <w:sz w:val="14"/>
          <w:shd w:val="clear" w:color="auto" w:fill="FFFF00"/>
        </w:rPr>
      </w:pPr>
      <w:r w:rsidRPr="006753BF">
        <w:rPr>
          <w:rFonts w:ascii="Arial" w:hAnsi="Arial"/>
          <w:color w:val="000000"/>
          <w:sz w:val="20"/>
        </w:rPr>
        <w:t xml:space="preserve">Για περισσότερες πληροφορίες σχετικά με τα λειτουργικά αποτελέσματα της Εταιρείας για τη λήξη της χρήσης και το τέταρτο τρίμηνο του 2024, ανατρέξτε στις επεξηγηματικές σημειώσεις της Διοίκησης της Εταιρείας που υποβλήθηκαν στο σύστημα SEDAR+ στη διεύθυνση </w:t>
      </w:r>
      <w:r w:rsidRPr="006753BF">
        <w:rPr>
          <w:rFonts w:ascii="Arial" w:hAnsi="Arial"/>
          <w:color w:val="0000FF"/>
          <w:sz w:val="20"/>
          <w:u w:val="single"/>
        </w:rPr>
        <w:t>www.sedarplus.ca</w:t>
      </w:r>
      <w:r w:rsidRPr="006753BF">
        <w:rPr>
          <w:rFonts w:ascii="Arial" w:hAnsi="Arial"/>
          <w:sz w:val="20"/>
        </w:rPr>
        <w:t xml:space="preserve"> στο προφίλ της Εταιρείας. </w:t>
      </w:r>
    </w:p>
    <w:p w14:paraId="4DFEB17C" w14:textId="77777777" w:rsidR="00BC2819" w:rsidRPr="006753BF" w:rsidRDefault="00BC2819">
      <w:pPr>
        <w:spacing w:line="288" w:lineRule="auto"/>
        <w:rPr>
          <w:rFonts w:ascii="Arial" w:eastAsia="Arial" w:hAnsi="Arial" w:cs="Arial"/>
          <w:sz w:val="20"/>
        </w:rPr>
      </w:pPr>
    </w:p>
    <w:p w14:paraId="4DFEB17D" w14:textId="77777777" w:rsidR="00BC2819" w:rsidRPr="006753BF" w:rsidRDefault="008673D2">
      <w:pPr>
        <w:keepNext/>
        <w:keepLines/>
        <w:widowControl w:val="0"/>
        <w:spacing w:before="240" w:line="288" w:lineRule="auto"/>
        <w:rPr>
          <w:rFonts w:ascii="Arial" w:eastAsia="Arial" w:hAnsi="Arial" w:cs="Arial"/>
          <w:b/>
          <w:sz w:val="22"/>
        </w:rPr>
      </w:pPr>
      <w:r w:rsidRPr="006753BF">
        <w:rPr>
          <w:rFonts w:ascii="Arial" w:hAnsi="Arial"/>
          <w:b/>
          <w:sz w:val="22"/>
        </w:rPr>
        <w:t>Σχετικά με την Eldorado Gold</w:t>
      </w:r>
    </w:p>
    <w:p w14:paraId="4DFEB17E" w14:textId="77777777" w:rsidR="00BC2819" w:rsidRPr="006753BF" w:rsidRDefault="008673D2">
      <w:pPr>
        <w:keepNext/>
        <w:keepLines/>
        <w:widowControl w:val="0"/>
        <w:spacing w:before="60" w:line="269" w:lineRule="auto"/>
        <w:jc w:val="both"/>
        <w:rPr>
          <w:sz w:val="20"/>
        </w:rPr>
      </w:pPr>
      <w:r w:rsidRPr="006753BF">
        <w:rPr>
          <w:rFonts w:ascii="Arial" w:hAnsi="Arial"/>
          <w:sz w:val="20"/>
        </w:rPr>
        <w:t>Η Eldorado είναι παραγωγός χρυσού και βασικών μετάλλων με δραστηριότητες εξόρυξης, ανάπτυξης και ερευνών στην Τουρκία, τον Καναδά και την Ελλάδα. Η Εταιρεία διακρίνεται για το εξαιρετικά εξειδικευμένο και αφοσιωμένο εργατικό δυναμικό της, τις ασφαλείς και υπεύθυνες δραστηριότητες, το χαρτοφυλάκιο περιουσιακών στοιχείων υψηλής ποιότητας και τις μακροπρόθεσμες συνεργασίες με τις τοπικές κοινότητες. Οι κοινές μετοχές της Eldorado υπόκεινται σε διαπραγμάτευση στο Χρηματιστήριο του Τορόντο (TSX: ELD) και στο Χρηματιστήριο της Νέας Υόρκης (NYSE: EGO).</w:t>
      </w:r>
    </w:p>
    <w:p w14:paraId="4DFEB17F" w14:textId="77777777" w:rsidR="00BC2819" w:rsidRPr="006753BF" w:rsidRDefault="00BC2819">
      <w:pPr>
        <w:spacing w:before="120" w:after="120" w:line="288" w:lineRule="auto"/>
        <w:jc w:val="both"/>
        <w:rPr>
          <w:rFonts w:ascii="Arial" w:eastAsia="Arial" w:hAnsi="Arial" w:cs="Arial"/>
          <w:b/>
        </w:rPr>
      </w:pPr>
    </w:p>
    <w:p w14:paraId="4DFEB18A" w14:textId="77777777" w:rsidR="00BC2819" w:rsidRPr="006753BF" w:rsidRDefault="00BC2819">
      <w:pPr>
        <w:keepNext/>
        <w:keepLines/>
        <w:widowControl w:val="0"/>
        <w:spacing w:before="240" w:line="288" w:lineRule="auto"/>
        <w:rPr>
          <w:rFonts w:ascii="Arial" w:eastAsia="Arial" w:hAnsi="Arial" w:cs="Arial"/>
          <w:b/>
          <w:color w:val="0000FF"/>
          <w:sz w:val="22"/>
          <w:u w:val="single"/>
        </w:rPr>
      </w:pPr>
    </w:p>
    <w:sectPr w:rsidR="00BC2819" w:rsidRPr="006753BF" w:rsidSect="00DA3C17">
      <w:headerReference w:type="default" r:id="rId14"/>
      <w:footerReference w:type="default" r:id="rId15"/>
      <w:pgSz w:w="12240" w:h="15840"/>
      <w:pgMar w:top="900" w:right="990" w:bottom="990" w:left="990" w:header="0" w:footer="27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E316E" w14:textId="77777777" w:rsidR="00A14D44" w:rsidRDefault="00A14D44">
      <w:r>
        <w:separator/>
      </w:r>
    </w:p>
  </w:endnote>
  <w:endnote w:type="continuationSeparator" w:id="0">
    <w:p w14:paraId="3413B165" w14:textId="77777777" w:rsidR="00A14D44" w:rsidRDefault="00A14D44">
      <w:r>
        <w:continuationSeparator/>
      </w:r>
    </w:p>
  </w:endnote>
  <w:endnote w:type="continuationNotice" w:id="1">
    <w:p w14:paraId="14785EE1" w14:textId="77777777" w:rsidR="00A14D44" w:rsidRDefault="00A1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135"/>
      <w:gridCol w:w="3945"/>
    </w:tblGrid>
    <w:tr w:rsidR="00BC2819" w14:paraId="4DFEB195" w14:textId="77777777">
      <w:trPr>
        <w:cantSplit/>
        <w:trHeight w:hRule="exact" w:val="375"/>
        <w:jc w:val="center"/>
      </w:trPr>
      <w:tc>
        <w:tcPr>
          <w:tcW w:w="3120" w:type="dxa"/>
          <w:tcBorders>
            <w:top w:val="nil"/>
            <w:left w:val="nil"/>
            <w:bottom w:val="nil"/>
            <w:right w:val="nil"/>
          </w:tcBorders>
          <w:tcMar>
            <w:top w:w="0" w:type="dxa"/>
            <w:left w:w="0" w:type="dxa"/>
            <w:bottom w:w="0" w:type="dxa"/>
            <w:right w:w="0" w:type="dxa"/>
          </w:tcMar>
          <w:vAlign w:val="bottom"/>
        </w:tcPr>
        <w:p w14:paraId="4DFEB192" w14:textId="77777777" w:rsidR="00BC2819" w:rsidRDefault="00BC2819"/>
      </w:tc>
      <w:tc>
        <w:tcPr>
          <w:tcW w:w="3135" w:type="dxa"/>
          <w:tcBorders>
            <w:top w:val="nil"/>
            <w:left w:val="nil"/>
            <w:bottom w:val="nil"/>
            <w:right w:val="nil"/>
          </w:tcBorders>
          <w:tcMar>
            <w:top w:w="0" w:type="dxa"/>
            <w:left w:w="0" w:type="dxa"/>
            <w:bottom w:w="0" w:type="dxa"/>
            <w:right w:w="0" w:type="dxa"/>
          </w:tcMar>
          <w:vAlign w:val="bottom"/>
        </w:tcPr>
        <w:p w14:paraId="4DFEB193" w14:textId="77777777" w:rsidR="00BC2819" w:rsidRDefault="00BC2819"/>
      </w:tc>
      <w:tc>
        <w:tcPr>
          <w:tcW w:w="3945" w:type="dxa"/>
          <w:tcBorders>
            <w:top w:val="nil"/>
            <w:left w:val="nil"/>
            <w:bottom w:val="nil"/>
            <w:right w:val="nil"/>
          </w:tcBorders>
          <w:tcMar>
            <w:top w:w="0" w:type="dxa"/>
            <w:left w:w="53" w:type="dxa"/>
            <w:bottom w:w="0" w:type="dxa"/>
            <w:right w:w="53" w:type="dxa"/>
          </w:tcMar>
          <w:vAlign w:val="bottom"/>
        </w:tcPr>
        <w:p w14:paraId="4DFEB194" w14:textId="77777777" w:rsidR="00BC2819" w:rsidRDefault="000A5AE1">
          <w:pPr>
            <w:spacing w:before="53" w:after="30"/>
            <w:jc w:val="right"/>
            <w:rPr>
              <w:rFonts w:ascii="Arial" w:eastAsia="Arial" w:hAnsi="Arial" w:cs="Arial"/>
              <w:sz w:val="2"/>
            </w:rPr>
          </w:pPr>
          <w:r>
            <w:rPr>
              <w:rFonts w:ascii="Arial" w:eastAsia="Arial" w:hAnsi="Arial" w:cs="Arial"/>
              <w:sz w:val="16"/>
            </w:rPr>
            <w:fldChar w:fldCharType="begin"/>
          </w:r>
          <w:r w:rsidR="008673D2">
            <w:rPr>
              <w:rFonts w:ascii="Arial" w:eastAsia="Arial" w:hAnsi="Arial" w:cs="Arial"/>
              <w:sz w:val="16"/>
            </w:rPr>
            <w:instrText xml:space="preserve"> PAGE </w:instrText>
          </w:r>
          <w:r>
            <w:rPr>
              <w:rFonts w:ascii="Arial" w:eastAsia="Arial" w:hAnsi="Arial" w:cs="Arial"/>
              <w:sz w:val="16"/>
            </w:rPr>
            <w:fldChar w:fldCharType="separate"/>
          </w:r>
          <w:r w:rsidR="00F61D04">
            <w:rPr>
              <w:rFonts w:ascii="Arial" w:eastAsia="Arial" w:hAnsi="Arial" w:cs="Arial"/>
              <w:noProof/>
              <w:sz w:val="16"/>
            </w:rPr>
            <w:t>2</w:t>
          </w:r>
          <w:r>
            <w:rPr>
              <w:rFonts w:ascii="Arial" w:eastAsia="Arial" w:hAnsi="Arial" w:cs="Arial"/>
              <w:sz w:val="16"/>
            </w:rPr>
            <w:fldChar w:fldCharType="end"/>
          </w:r>
        </w:p>
      </w:tc>
    </w:tr>
  </w:tbl>
  <w:p w14:paraId="4DFEB196" w14:textId="77777777" w:rsidR="00BC2819" w:rsidRDefault="00BC2819">
    <w:pPr>
      <w:tabs>
        <w:tab w:val="center" w:pos="4320"/>
        <w:tab w:val="left" w:pos="8640"/>
        <w:tab w:val="left" w:pos="9360"/>
        <w:tab w:val="left" w:pos="10080"/>
        <w:tab w:val="left" w:pos="10800"/>
        <w:tab w:val="left" w:pos="11520"/>
      </w:tabs>
      <w:spacing w:line="288" w:lineRule="auto"/>
      <w:jc w:val="center"/>
      <w:rPr>
        <w:rFonts w:ascii="Arial" w:eastAsia="Arial" w:hAnsi="Arial" w:cs="Arial"/>
        <w:sz w:val="20"/>
      </w:rPr>
    </w:pPr>
  </w:p>
  <w:p w14:paraId="4DFEB197" w14:textId="77777777" w:rsidR="00BC2819" w:rsidRDefault="00BC2819">
    <w:pPr>
      <w:tabs>
        <w:tab w:val="center" w:pos="4320"/>
        <w:tab w:val="left" w:pos="8640"/>
        <w:tab w:val="left" w:pos="9360"/>
        <w:tab w:val="left" w:pos="10080"/>
        <w:tab w:val="left" w:pos="10800"/>
        <w:tab w:val="left" w:pos="11520"/>
      </w:tabs>
      <w:spacing w:line="288" w:lineRule="auto"/>
      <w:jc w:val="center"/>
      <w:rPr>
        <w:rFonts w:ascii="Arial" w:eastAsia="Arial" w:hAnsi="Arial" w:cs="Arial"/>
        <w:sz w:val="20"/>
      </w:rPr>
    </w:pPr>
  </w:p>
  <w:p w14:paraId="4DFEB198" w14:textId="77777777" w:rsidR="00BC2819" w:rsidRDefault="00BC2819">
    <w:pPr>
      <w:spacing w:line="288" w:lineRule="auto"/>
      <w:rPr>
        <w:rFonts w:ascii="Arial" w:eastAsia="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BC2819" w14:paraId="4DFEB1A1" w14:textId="77777777">
      <w:trPr>
        <w:cantSplit/>
        <w:trHeight w:hRule="exact" w:val="255"/>
        <w:jc w:val="center"/>
      </w:trPr>
      <w:tc>
        <w:tcPr>
          <w:tcW w:w="10200" w:type="dxa"/>
          <w:tcBorders>
            <w:top w:val="nil"/>
            <w:left w:val="nil"/>
            <w:bottom w:val="nil"/>
            <w:right w:val="nil"/>
          </w:tcBorders>
          <w:tcMar>
            <w:top w:w="0" w:type="dxa"/>
            <w:left w:w="0" w:type="dxa"/>
            <w:bottom w:w="0" w:type="dxa"/>
            <w:right w:w="0" w:type="dxa"/>
          </w:tcMar>
          <w:vAlign w:val="bottom"/>
        </w:tcPr>
        <w:p w14:paraId="4DFEB1A0" w14:textId="77777777" w:rsidR="00BC2819" w:rsidRDefault="00BC2819">
          <w:pPr>
            <w:keepNext/>
          </w:pPr>
        </w:p>
      </w:tc>
    </w:tr>
    <w:tr w:rsidR="00BC2819" w14:paraId="4DFEB1A3" w14:textId="77777777">
      <w:trPr>
        <w:cantSplit/>
        <w:trHeight w:hRule="exact" w:val="255"/>
        <w:jc w:val="center"/>
      </w:trPr>
      <w:tc>
        <w:tcPr>
          <w:tcW w:w="10200" w:type="dxa"/>
          <w:tcBorders>
            <w:top w:val="nil"/>
            <w:left w:val="nil"/>
            <w:bottom w:val="nil"/>
            <w:right w:val="nil"/>
          </w:tcBorders>
          <w:tcMar>
            <w:top w:w="0" w:type="dxa"/>
            <w:left w:w="53" w:type="dxa"/>
            <w:bottom w:w="0" w:type="dxa"/>
            <w:right w:w="53" w:type="dxa"/>
          </w:tcMar>
          <w:vAlign w:val="bottom"/>
        </w:tcPr>
        <w:p w14:paraId="4DFEB1A2" w14:textId="77777777" w:rsidR="00BC2819" w:rsidRDefault="008673D2">
          <w:pPr>
            <w:spacing w:before="53" w:after="30"/>
            <w:jc w:val="center"/>
            <w:outlineLvl w:val="0"/>
            <w:rPr>
              <w:rFonts w:ascii="Arial" w:eastAsia="Arial" w:hAnsi="Arial" w:cs="Arial"/>
              <w:sz w:val="2"/>
            </w:rPr>
          </w:pPr>
          <w:r>
            <w:rPr>
              <w:rFonts w:ascii="Arial" w:hAnsi="Arial"/>
              <w:sz w:val="18"/>
            </w:rPr>
            <w:t xml:space="preserve">Για τις σημειώσεις επί των λογαριασμών, ανατρέξτε στις Ενοποιημένες Οικονομικές Καταστάσεις στις </w:t>
          </w:r>
          <w:r>
            <w:rPr>
              <w:rFonts w:ascii="Arial" w:hAnsi="Arial"/>
              <w:color w:val="000000"/>
              <w:sz w:val="18"/>
            </w:rPr>
            <w:t>31 Δεκεμβρίου 2024</w:t>
          </w:r>
          <w:r>
            <w:rPr>
              <w:rFonts w:ascii="Arial" w:hAnsi="Arial"/>
              <w:sz w:val="18"/>
            </w:rPr>
            <w:t>.</w:t>
          </w:r>
        </w:p>
      </w:tc>
    </w:tr>
  </w:tbl>
  <w:p w14:paraId="4DFEB1A4" w14:textId="77777777" w:rsidR="00BC2819" w:rsidRDefault="00BC2819">
    <w:pPr>
      <w:spacing w:line="288" w:lineRule="auto"/>
      <w:jc w:val="center"/>
      <w:rPr>
        <w:rFonts w:ascii="Arial" w:eastAsia="Arial" w:hAnsi="Arial" w:cs="Arial"/>
        <w:sz w:val="20"/>
      </w:rPr>
    </w:pPr>
  </w:p>
  <w:p w14:paraId="4DFEB1A5" w14:textId="77777777" w:rsidR="00BC2819" w:rsidRDefault="00BC2819">
    <w:pPr>
      <w:spacing w:line="288" w:lineRule="auto"/>
      <w:rPr>
        <w:rFonts w:ascii="Arial" w:eastAsia="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9B7A8" w14:textId="77777777" w:rsidR="00A14D44" w:rsidRDefault="00A14D44">
      <w:r>
        <w:separator/>
      </w:r>
    </w:p>
  </w:footnote>
  <w:footnote w:type="continuationSeparator" w:id="0">
    <w:p w14:paraId="3E59B41F" w14:textId="77777777" w:rsidR="00A14D44" w:rsidRDefault="00A14D44">
      <w:r>
        <w:continuationSeparator/>
      </w:r>
    </w:p>
  </w:footnote>
  <w:footnote w:type="continuationNotice" w:id="1">
    <w:p w14:paraId="05B775AE" w14:textId="77777777" w:rsidR="00A14D44" w:rsidRDefault="00A14D44"/>
  </w:footnote>
  <w:footnote w:id="2">
    <w:p w14:paraId="4DFEB1A6" w14:textId="77777777" w:rsidR="00BC2819" w:rsidRPr="006753BF" w:rsidRDefault="008673D2">
      <w:pPr>
        <w:pStyle w:val="a4"/>
        <w:spacing w:line="288" w:lineRule="auto"/>
        <w:rPr>
          <w:rFonts w:ascii="Arial" w:eastAsia="Arial" w:hAnsi="Arial" w:cs="Arial"/>
          <w:sz w:val="15"/>
          <w:lang w:val="en-US"/>
        </w:rPr>
      </w:pPr>
      <w:r w:rsidRPr="006753BF">
        <w:rPr>
          <w:rStyle w:val="a3"/>
          <w:rFonts w:ascii="Arial" w:eastAsia="Arial" w:hAnsi="Arial" w:cs="Arial"/>
          <w:sz w:val="15"/>
        </w:rPr>
        <w:footnoteRef/>
      </w:r>
      <w:r w:rsidRPr="006753BF">
        <w:rPr>
          <w:rFonts w:ascii="Arial" w:hAnsi="Arial"/>
          <w:lang w:val="en-US"/>
        </w:rPr>
        <w:t xml:space="preserve"> </w:t>
      </w:r>
      <w:r w:rsidRPr="006753BF">
        <w:rPr>
          <w:rFonts w:ascii="Arial" w:hAnsi="Arial"/>
          <w:color w:val="000000"/>
          <w:sz w:val="15"/>
          <w:lang w:val="en-US"/>
        </w:rPr>
        <w:t>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2024 MD&amp;A.</w:t>
      </w:r>
    </w:p>
  </w:footnote>
  <w:footnote w:id="3">
    <w:p w14:paraId="4DFEB1A7" w14:textId="77777777" w:rsidR="00BC2819" w:rsidRPr="006753BF" w:rsidRDefault="008673D2">
      <w:pPr>
        <w:pStyle w:val="a4"/>
        <w:spacing w:line="288" w:lineRule="auto"/>
        <w:rPr>
          <w:rFonts w:ascii="Arial" w:eastAsia="Arial" w:hAnsi="Arial" w:cs="Arial"/>
          <w:sz w:val="15"/>
          <w:lang w:val="en-US"/>
        </w:rPr>
      </w:pPr>
      <w:r w:rsidRPr="006753BF">
        <w:rPr>
          <w:rStyle w:val="a3"/>
          <w:rFonts w:ascii="Arial" w:eastAsia="Arial" w:hAnsi="Arial" w:cs="Arial"/>
          <w:sz w:val="15"/>
        </w:rPr>
        <w:footnoteRef/>
      </w:r>
      <w:r w:rsidRPr="006753BF">
        <w:rPr>
          <w:rFonts w:ascii="Arial" w:hAnsi="Arial"/>
          <w:lang w:val="en-US"/>
        </w:rPr>
        <w:t xml:space="preserve"> </w:t>
      </w:r>
      <w:r w:rsidRPr="006753BF">
        <w:rPr>
          <w:rFonts w:ascii="Arial" w:hAnsi="Arial"/>
          <w:color w:val="000000"/>
          <w:sz w:val="15"/>
          <w:lang w:val="en-US"/>
        </w:rPr>
        <w:t>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2024 MD&amp;A.</w:t>
      </w:r>
    </w:p>
  </w:footnote>
  <w:footnote w:id="4">
    <w:p w14:paraId="4DFEB1A8" w14:textId="77777777" w:rsidR="00BC2819" w:rsidRPr="006753BF" w:rsidRDefault="008673D2">
      <w:pPr>
        <w:pStyle w:val="a4"/>
        <w:spacing w:line="288" w:lineRule="auto"/>
        <w:rPr>
          <w:rFonts w:ascii="Arial" w:eastAsia="Arial" w:hAnsi="Arial" w:cs="Arial"/>
          <w:i/>
          <w:sz w:val="14"/>
          <w:lang w:val="en-US"/>
        </w:rPr>
      </w:pPr>
      <w:r>
        <w:rPr>
          <w:rStyle w:val="a3"/>
          <w:rFonts w:ascii="Arial" w:eastAsia="Arial" w:hAnsi="Arial" w:cs="Arial"/>
          <w:vanish/>
        </w:rPr>
        <w:footnoteRef/>
      </w:r>
      <w:r w:rsidRPr="006753BF">
        <w:rPr>
          <w:rFonts w:ascii="Arial" w:hAnsi="Arial"/>
          <w:vanish/>
          <w:lang w:val="en-US"/>
        </w:rPr>
        <w:t xml:space="preserve"> </w:t>
      </w:r>
      <w:r w:rsidRPr="006753BF">
        <w:rPr>
          <w:rFonts w:ascii="Arial" w:hAnsi="Arial"/>
          <w:i/>
          <w:vanish/>
          <w:color w:val="000000"/>
          <w:sz w:val="14"/>
          <w:lang w:val="en-US"/>
        </w:rPr>
        <w:t>These financial measures or ratios are non-IFRS financial measures or ratios. See the section 'Non-IFRS and Other Financial Measures and Ratios' for explanations and discussion of these non-IFRS financial measures or ratios.</w:t>
      </w:r>
      <w:r w:rsidR="006753BF">
        <w:rPr>
          <w:rFonts w:ascii="Arial" w:hAnsi="Arial"/>
          <w:i/>
          <w:vanish/>
          <w:sz w:val="14"/>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B199" w14:textId="77777777" w:rsidR="00BC2819" w:rsidRDefault="00BC2819">
    <w:pPr>
      <w:spacing w:line="288" w:lineRule="auto"/>
      <w:rPr>
        <w:rFonts w:ascii="Arial" w:eastAsia="Arial" w:hAnsi="Arial" w:cs="Arial"/>
        <w:b/>
        <w:sz w:val="28"/>
      </w:rPr>
    </w:pPr>
  </w:p>
  <w:p w14:paraId="4DFEB19A" w14:textId="77777777" w:rsidR="00BC2819" w:rsidRDefault="783BBF32" w:rsidP="783BBF32">
    <w:pPr>
      <w:spacing w:line="288" w:lineRule="auto"/>
      <w:outlineLvl w:val="0"/>
      <w:rPr>
        <w:rFonts w:ascii="Arial" w:eastAsia="Arial" w:hAnsi="Arial" w:cs="Arial"/>
        <w:b/>
        <w:bCs/>
        <w:sz w:val="28"/>
        <w:szCs w:val="28"/>
      </w:rPr>
    </w:pPr>
    <w:r w:rsidRPr="783BBF32">
      <w:rPr>
        <w:rFonts w:ascii="Arial" w:hAnsi="Arial"/>
        <w:b/>
        <w:bCs/>
        <w:color w:val="027C64"/>
        <w:sz w:val="28"/>
        <w:szCs w:val="28"/>
      </w:rPr>
      <w:t>Eldorado Gold Corporation</w:t>
    </w:r>
  </w:p>
  <w:p w14:paraId="4DFEB19B" w14:textId="77777777" w:rsidR="00BC2819" w:rsidRDefault="008673D2">
    <w:pPr>
      <w:spacing w:line="288" w:lineRule="auto"/>
      <w:outlineLvl w:val="0"/>
      <w:rPr>
        <w:rFonts w:ascii="Arial" w:eastAsia="Arial" w:hAnsi="Arial" w:cs="Arial"/>
        <w:sz w:val="28"/>
      </w:rPr>
    </w:pPr>
    <w:r>
      <w:rPr>
        <w:rFonts w:ascii="Arial" w:hAnsi="Arial"/>
        <w:color w:val="027C64"/>
        <w:sz w:val="28"/>
      </w:rPr>
      <w:t>Ενοποιημένες Καταστάσεις Μεταβολών Ιδίων Κεφαλαίων</w:t>
    </w:r>
    <w:r>
      <w:rPr>
        <w:rFonts w:ascii="Arial" w:hAnsi="Arial"/>
        <w:color w:val="0C2D84"/>
        <w:sz w:val="28"/>
      </w:rPr>
      <w:tab/>
    </w:r>
    <w:r>
      <w:rPr>
        <w:rFonts w:ascii="Arial" w:hAnsi="Arial"/>
        <w:color w:val="0C2D84"/>
        <w:sz w:val="28"/>
      </w:rPr>
      <w:tab/>
    </w:r>
    <w:r>
      <w:rPr>
        <w:rFonts w:ascii="Arial" w:hAnsi="Arial"/>
        <w:color w:val="0C2D84"/>
        <w:sz w:val="28"/>
      </w:rPr>
      <w:tab/>
    </w:r>
  </w:p>
  <w:p w14:paraId="4DFEB19C" w14:textId="77777777" w:rsidR="00BC2819" w:rsidRDefault="008673D2">
    <w:pPr>
      <w:spacing w:line="288" w:lineRule="auto"/>
      <w:outlineLvl w:val="0"/>
      <w:rPr>
        <w:rFonts w:ascii="Arial" w:eastAsia="Arial" w:hAnsi="Arial" w:cs="Arial"/>
        <w:sz w:val="18"/>
      </w:rPr>
    </w:pPr>
    <w:r>
      <w:rPr>
        <w:rFonts w:ascii="Arial" w:hAnsi="Arial"/>
        <w:sz w:val="18"/>
      </w:rPr>
      <w:t xml:space="preserve">Για τις χρήσεις που έληξαν στις </w:t>
    </w:r>
    <w:r>
      <w:rPr>
        <w:rFonts w:ascii="Arial" w:hAnsi="Arial"/>
        <w:color w:val="000000"/>
        <w:sz w:val="18"/>
      </w:rPr>
      <w:t>31 Δεκεμβρίου 2024</w:t>
    </w:r>
    <w:r>
      <w:rPr>
        <w:rFonts w:ascii="Arial" w:hAnsi="Arial"/>
        <w:sz w:val="18"/>
      </w:rPr>
      <w:t xml:space="preserve"> και </w:t>
    </w:r>
    <w:r>
      <w:rPr>
        <w:rFonts w:ascii="Arial" w:hAnsi="Arial"/>
        <w:color w:val="000000"/>
        <w:sz w:val="18"/>
      </w:rPr>
      <w:t>31 Δεκεμβρίου 2023</w:t>
    </w:r>
    <w:r w:rsidR="006753BF">
      <w:rPr>
        <w:rFonts w:ascii="Arial" w:hAnsi="Arial"/>
        <w:sz w:val="18"/>
      </w:rPr>
      <w:t xml:space="preserve"> </w:t>
    </w:r>
  </w:p>
  <w:p w14:paraId="4DFEB19D" w14:textId="77777777" w:rsidR="00BC2819" w:rsidRDefault="008673D2">
    <w:pPr>
      <w:spacing w:line="288" w:lineRule="auto"/>
      <w:outlineLvl w:val="0"/>
      <w:rPr>
        <w:rFonts w:ascii="Arial" w:eastAsia="Arial" w:hAnsi="Arial" w:cs="Arial"/>
        <w:sz w:val="18"/>
      </w:rPr>
    </w:pPr>
    <w:r>
      <w:rPr>
        <w:rFonts w:ascii="Arial" w:hAnsi="Arial"/>
        <w:sz w:val="18"/>
      </w:rPr>
      <w:t>(Σε χιλιάδες δολάρια ΗΠΑ)</w:t>
    </w:r>
  </w:p>
  <w:p w14:paraId="4DFEB19E" w14:textId="77777777" w:rsidR="00BC2819" w:rsidRDefault="00BC2819">
    <w:p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hanging="360"/>
      <w:rPr>
        <w:rFonts w:ascii="Arial" w:eastAsia="Arial" w:hAnsi="Arial" w:cs="Arial"/>
        <w:sz w:val="20"/>
      </w:rPr>
    </w:pPr>
  </w:p>
  <w:p w14:paraId="4DFEB19F" w14:textId="77777777" w:rsidR="00BC2819" w:rsidRDefault="00BC2819">
    <w:pPr>
      <w:spacing w:line="288" w:lineRule="auto"/>
      <w:rPr>
        <w:rFonts w:ascii="Arial" w:eastAsia="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nsid w:val="0000000E"/>
    <w:multiLevelType w:val="hybridMultilevel"/>
    <w:tmpl w:val="0000000E"/>
    <w:lvl w:ilvl="0" w:tplc="6136C578">
      <w:start w:val="1"/>
      <w:numFmt w:val="bullet"/>
      <w:lvlText w:val="•"/>
      <w:lvlJc w:val="left"/>
      <w:pPr>
        <w:tabs>
          <w:tab w:val="num" w:pos="720"/>
        </w:tabs>
        <w:ind w:left="720" w:hanging="360"/>
      </w:pPr>
      <w:rPr>
        <w:rFonts w:ascii="Arial" w:eastAsia="Arial" w:hAnsi="Arial" w:cs="Arial"/>
        <w:b/>
        <w:i w:val="0"/>
        <w:strike w:val="0"/>
        <w:sz w:val="20"/>
      </w:rPr>
    </w:lvl>
    <w:lvl w:ilvl="1" w:tplc="371C8A56">
      <w:start w:val="1"/>
      <w:numFmt w:val="bullet"/>
      <w:lvlText w:val="o"/>
      <w:lvlJc w:val="left"/>
      <w:pPr>
        <w:tabs>
          <w:tab w:val="num" w:pos="1440"/>
        </w:tabs>
        <w:ind w:left="1440" w:hanging="360"/>
      </w:pPr>
      <w:rPr>
        <w:rFonts w:ascii="Courier New" w:hAnsi="Courier New"/>
      </w:rPr>
    </w:lvl>
    <w:lvl w:ilvl="2" w:tplc="9F4A6746">
      <w:start w:val="1"/>
      <w:numFmt w:val="bullet"/>
      <w:lvlText w:val=""/>
      <w:lvlJc w:val="left"/>
      <w:pPr>
        <w:tabs>
          <w:tab w:val="num" w:pos="2160"/>
        </w:tabs>
        <w:ind w:left="2160" w:hanging="360"/>
      </w:pPr>
      <w:rPr>
        <w:rFonts w:ascii="Wingdings" w:hAnsi="Wingdings"/>
      </w:rPr>
    </w:lvl>
    <w:lvl w:ilvl="3" w:tplc="8754346A">
      <w:start w:val="1"/>
      <w:numFmt w:val="bullet"/>
      <w:lvlText w:val=""/>
      <w:lvlJc w:val="left"/>
      <w:pPr>
        <w:tabs>
          <w:tab w:val="num" w:pos="2880"/>
        </w:tabs>
        <w:ind w:left="2880" w:hanging="360"/>
      </w:pPr>
      <w:rPr>
        <w:rFonts w:ascii="Symbol" w:hAnsi="Symbol"/>
      </w:rPr>
    </w:lvl>
    <w:lvl w:ilvl="4" w:tplc="54C4403A">
      <w:start w:val="1"/>
      <w:numFmt w:val="bullet"/>
      <w:lvlText w:val="o"/>
      <w:lvlJc w:val="left"/>
      <w:pPr>
        <w:tabs>
          <w:tab w:val="num" w:pos="3600"/>
        </w:tabs>
        <w:ind w:left="3600" w:hanging="360"/>
      </w:pPr>
      <w:rPr>
        <w:rFonts w:ascii="Courier New" w:hAnsi="Courier New"/>
      </w:rPr>
    </w:lvl>
    <w:lvl w:ilvl="5" w:tplc="4C14146A">
      <w:start w:val="1"/>
      <w:numFmt w:val="bullet"/>
      <w:lvlText w:val=""/>
      <w:lvlJc w:val="left"/>
      <w:pPr>
        <w:tabs>
          <w:tab w:val="num" w:pos="4320"/>
        </w:tabs>
        <w:ind w:left="4320" w:hanging="360"/>
      </w:pPr>
      <w:rPr>
        <w:rFonts w:ascii="Wingdings" w:hAnsi="Wingdings"/>
      </w:rPr>
    </w:lvl>
    <w:lvl w:ilvl="6" w:tplc="66680BCC">
      <w:start w:val="1"/>
      <w:numFmt w:val="bullet"/>
      <w:lvlText w:val=""/>
      <w:lvlJc w:val="left"/>
      <w:pPr>
        <w:tabs>
          <w:tab w:val="num" w:pos="5040"/>
        </w:tabs>
        <w:ind w:left="5040" w:hanging="360"/>
      </w:pPr>
      <w:rPr>
        <w:rFonts w:ascii="Symbol" w:hAnsi="Symbol"/>
      </w:rPr>
    </w:lvl>
    <w:lvl w:ilvl="7" w:tplc="EB06C218">
      <w:start w:val="1"/>
      <w:numFmt w:val="bullet"/>
      <w:lvlText w:val="o"/>
      <w:lvlJc w:val="left"/>
      <w:pPr>
        <w:tabs>
          <w:tab w:val="num" w:pos="5760"/>
        </w:tabs>
        <w:ind w:left="5760" w:hanging="360"/>
      </w:pPr>
      <w:rPr>
        <w:rFonts w:ascii="Courier New" w:hAnsi="Courier New"/>
      </w:rPr>
    </w:lvl>
    <w:lvl w:ilvl="8" w:tplc="A384A08E">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F52AE5E8">
      <w:start w:val="1"/>
      <w:numFmt w:val="bullet"/>
      <w:lvlText w:val="•"/>
      <w:lvlJc w:val="left"/>
      <w:pPr>
        <w:tabs>
          <w:tab w:val="num" w:pos="720"/>
        </w:tabs>
        <w:ind w:left="720" w:hanging="360"/>
      </w:pPr>
      <w:rPr>
        <w:rFonts w:ascii="Arial" w:eastAsia="Arial" w:hAnsi="Arial" w:cs="Arial"/>
        <w:b/>
        <w:i w:val="0"/>
        <w:strike w:val="0"/>
        <w:sz w:val="20"/>
      </w:rPr>
    </w:lvl>
    <w:lvl w:ilvl="1" w:tplc="8FF0742C">
      <w:start w:val="1"/>
      <w:numFmt w:val="bullet"/>
      <w:lvlText w:val="o"/>
      <w:lvlJc w:val="left"/>
      <w:pPr>
        <w:tabs>
          <w:tab w:val="num" w:pos="1440"/>
        </w:tabs>
        <w:ind w:left="1440" w:hanging="360"/>
      </w:pPr>
      <w:rPr>
        <w:rFonts w:ascii="Courier New" w:hAnsi="Courier New"/>
      </w:rPr>
    </w:lvl>
    <w:lvl w:ilvl="2" w:tplc="3A3A4438">
      <w:start w:val="1"/>
      <w:numFmt w:val="bullet"/>
      <w:lvlText w:val=""/>
      <w:lvlJc w:val="left"/>
      <w:pPr>
        <w:tabs>
          <w:tab w:val="num" w:pos="2160"/>
        </w:tabs>
        <w:ind w:left="2160" w:hanging="360"/>
      </w:pPr>
      <w:rPr>
        <w:rFonts w:ascii="Wingdings" w:hAnsi="Wingdings"/>
      </w:rPr>
    </w:lvl>
    <w:lvl w:ilvl="3" w:tplc="84D200A4">
      <w:start w:val="1"/>
      <w:numFmt w:val="bullet"/>
      <w:lvlText w:val=""/>
      <w:lvlJc w:val="left"/>
      <w:pPr>
        <w:tabs>
          <w:tab w:val="num" w:pos="2880"/>
        </w:tabs>
        <w:ind w:left="2880" w:hanging="360"/>
      </w:pPr>
      <w:rPr>
        <w:rFonts w:ascii="Symbol" w:hAnsi="Symbol"/>
      </w:rPr>
    </w:lvl>
    <w:lvl w:ilvl="4" w:tplc="11D09500">
      <w:start w:val="1"/>
      <w:numFmt w:val="bullet"/>
      <w:lvlText w:val="o"/>
      <w:lvlJc w:val="left"/>
      <w:pPr>
        <w:tabs>
          <w:tab w:val="num" w:pos="3600"/>
        </w:tabs>
        <w:ind w:left="3600" w:hanging="360"/>
      </w:pPr>
      <w:rPr>
        <w:rFonts w:ascii="Courier New" w:hAnsi="Courier New"/>
      </w:rPr>
    </w:lvl>
    <w:lvl w:ilvl="5" w:tplc="C8AC1DF2">
      <w:start w:val="1"/>
      <w:numFmt w:val="bullet"/>
      <w:lvlText w:val=""/>
      <w:lvlJc w:val="left"/>
      <w:pPr>
        <w:tabs>
          <w:tab w:val="num" w:pos="4320"/>
        </w:tabs>
        <w:ind w:left="4320" w:hanging="360"/>
      </w:pPr>
      <w:rPr>
        <w:rFonts w:ascii="Wingdings" w:hAnsi="Wingdings"/>
      </w:rPr>
    </w:lvl>
    <w:lvl w:ilvl="6" w:tplc="3162D5E0">
      <w:start w:val="1"/>
      <w:numFmt w:val="bullet"/>
      <w:lvlText w:val=""/>
      <w:lvlJc w:val="left"/>
      <w:pPr>
        <w:tabs>
          <w:tab w:val="num" w:pos="5040"/>
        </w:tabs>
        <w:ind w:left="5040" w:hanging="360"/>
      </w:pPr>
      <w:rPr>
        <w:rFonts w:ascii="Symbol" w:hAnsi="Symbol"/>
      </w:rPr>
    </w:lvl>
    <w:lvl w:ilvl="7" w:tplc="81CC1258">
      <w:start w:val="1"/>
      <w:numFmt w:val="bullet"/>
      <w:lvlText w:val="o"/>
      <w:lvlJc w:val="left"/>
      <w:pPr>
        <w:tabs>
          <w:tab w:val="num" w:pos="5760"/>
        </w:tabs>
        <w:ind w:left="5760" w:hanging="360"/>
      </w:pPr>
      <w:rPr>
        <w:rFonts w:ascii="Courier New" w:hAnsi="Courier New"/>
      </w:rPr>
    </w:lvl>
    <w:lvl w:ilvl="8" w:tplc="27F2EC2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21E23E4C">
      <w:start w:val="1"/>
      <w:numFmt w:val="bullet"/>
      <w:lvlText w:val="•"/>
      <w:lvlJc w:val="left"/>
      <w:pPr>
        <w:tabs>
          <w:tab w:val="num" w:pos="720"/>
        </w:tabs>
        <w:ind w:left="720" w:hanging="360"/>
      </w:pPr>
      <w:rPr>
        <w:rFonts w:ascii="Arial" w:eastAsia="Arial" w:hAnsi="Arial" w:cs="Arial"/>
        <w:b/>
        <w:i w:val="0"/>
        <w:strike w:val="0"/>
        <w:sz w:val="20"/>
      </w:rPr>
    </w:lvl>
    <w:lvl w:ilvl="1" w:tplc="4A7E565A">
      <w:start w:val="1"/>
      <w:numFmt w:val="bullet"/>
      <w:lvlText w:val="o"/>
      <w:lvlJc w:val="left"/>
      <w:pPr>
        <w:tabs>
          <w:tab w:val="num" w:pos="1440"/>
        </w:tabs>
        <w:ind w:left="1440" w:hanging="360"/>
      </w:pPr>
      <w:rPr>
        <w:rFonts w:ascii="Courier New" w:hAnsi="Courier New"/>
      </w:rPr>
    </w:lvl>
    <w:lvl w:ilvl="2" w:tplc="1F601254">
      <w:start w:val="1"/>
      <w:numFmt w:val="bullet"/>
      <w:lvlText w:val=""/>
      <w:lvlJc w:val="left"/>
      <w:pPr>
        <w:tabs>
          <w:tab w:val="num" w:pos="2160"/>
        </w:tabs>
        <w:ind w:left="2160" w:hanging="360"/>
      </w:pPr>
      <w:rPr>
        <w:rFonts w:ascii="Wingdings" w:hAnsi="Wingdings"/>
      </w:rPr>
    </w:lvl>
    <w:lvl w:ilvl="3" w:tplc="73DADE6E">
      <w:start w:val="1"/>
      <w:numFmt w:val="bullet"/>
      <w:lvlText w:val=""/>
      <w:lvlJc w:val="left"/>
      <w:pPr>
        <w:tabs>
          <w:tab w:val="num" w:pos="2880"/>
        </w:tabs>
        <w:ind w:left="2880" w:hanging="360"/>
      </w:pPr>
      <w:rPr>
        <w:rFonts w:ascii="Symbol" w:hAnsi="Symbol"/>
      </w:rPr>
    </w:lvl>
    <w:lvl w:ilvl="4" w:tplc="E5A45B10">
      <w:start w:val="1"/>
      <w:numFmt w:val="bullet"/>
      <w:lvlText w:val="o"/>
      <w:lvlJc w:val="left"/>
      <w:pPr>
        <w:tabs>
          <w:tab w:val="num" w:pos="3600"/>
        </w:tabs>
        <w:ind w:left="3600" w:hanging="360"/>
      </w:pPr>
      <w:rPr>
        <w:rFonts w:ascii="Courier New" w:hAnsi="Courier New"/>
      </w:rPr>
    </w:lvl>
    <w:lvl w:ilvl="5" w:tplc="EAC65CA6">
      <w:start w:val="1"/>
      <w:numFmt w:val="bullet"/>
      <w:lvlText w:val=""/>
      <w:lvlJc w:val="left"/>
      <w:pPr>
        <w:tabs>
          <w:tab w:val="num" w:pos="4320"/>
        </w:tabs>
        <w:ind w:left="4320" w:hanging="360"/>
      </w:pPr>
      <w:rPr>
        <w:rFonts w:ascii="Wingdings" w:hAnsi="Wingdings"/>
      </w:rPr>
    </w:lvl>
    <w:lvl w:ilvl="6" w:tplc="D7D809B2">
      <w:start w:val="1"/>
      <w:numFmt w:val="bullet"/>
      <w:lvlText w:val=""/>
      <w:lvlJc w:val="left"/>
      <w:pPr>
        <w:tabs>
          <w:tab w:val="num" w:pos="5040"/>
        </w:tabs>
        <w:ind w:left="5040" w:hanging="360"/>
      </w:pPr>
      <w:rPr>
        <w:rFonts w:ascii="Symbol" w:hAnsi="Symbol"/>
      </w:rPr>
    </w:lvl>
    <w:lvl w:ilvl="7" w:tplc="2F7C298A">
      <w:start w:val="1"/>
      <w:numFmt w:val="bullet"/>
      <w:lvlText w:val="o"/>
      <w:lvlJc w:val="left"/>
      <w:pPr>
        <w:tabs>
          <w:tab w:val="num" w:pos="5760"/>
        </w:tabs>
        <w:ind w:left="5760" w:hanging="360"/>
      </w:pPr>
      <w:rPr>
        <w:rFonts w:ascii="Courier New" w:hAnsi="Courier New"/>
      </w:rPr>
    </w:lvl>
    <w:lvl w:ilvl="8" w:tplc="20304EA6">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9BAEE1C0">
      <w:start w:val="1"/>
      <w:numFmt w:val="bullet"/>
      <w:lvlText w:val="•"/>
      <w:lvlJc w:val="left"/>
      <w:pPr>
        <w:tabs>
          <w:tab w:val="num" w:pos="720"/>
        </w:tabs>
        <w:ind w:left="720" w:hanging="360"/>
      </w:pPr>
      <w:rPr>
        <w:rFonts w:ascii="Arial" w:eastAsia="Arial" w:hAnsi="Arial" w:cs="Arial"/>
        <w:b/>
        <w:i w:val="0"/>
        <w:strike w:val="0"/>
        <w:sz w:val="20"/>
      </w:rPr>
    </w:lvl>
    <w:lvl w:ilvl="1" w:tplc="0ED2F9EE">
      <w:start w:val="1"/>
      <w:numFmt w:val="bullet"/>
      <w:lvlText w:val="o"/>
      <w:lvlJc w:val="left"/>
      <w:pPr>
        <w:tabs>
          <w:tab w:val="num" w:pos="1440"/>
        </w:tabs>
        <w:ind w:left="1440" w:hanging="360"/>
      </w:pPr>
      <w:rPr>
        <w:rFonts w:ascii="Courier New" w:hAnsi="Courier New"/>
      </w:rPr>
    </w:lvl>
    <w:lvl w:ilvl="2" w:tplc="A696750E">
      <w:start w:val="1"/>
      <w:numFmt w:val="bullet"/>
      <w:lvlText w:val=""/>
      <w:lvlJc w:val="left"/>
      <w:pPr>
        <w:tabs>
          <w:tab w:val="num" w:pos="2160"/>
        </w:tabs>
        <w:ind w:left="2160" w:hanging="360"/>
      </w:pPr>
      <w:rPr>
        <w:rFonts w:ascii="Wingdings" w:hAnsi="Wingdings"/>
      </w:rPr>
    </w:lvl>
    <w:lvl w:ilvl="3" w:tplc="3216DD76">
      <w:start w:val="1"/>
      <w:numFmt w:val="bullet"/>
      <w:lvlText w:val=""/>
      <w:lvlJc w:val="left"/>
      <w:pPr>
        <w:tabs>
          <w:tab w:val="num" w:pos="2880"/>
        </w:tabs>
        <w:ind w:left="2880" w:hanging="360"/>
      </w:pPr>
      <w:rPr>
        <w:rFonts w:ascii="Symbol" w:hAnsi="Symbol"/>
      </w:rPr>
    </w:lvl>
    <w:lvl w:ilvl="4" w:tplc="887C93FA">
      <w:start w:val="1"/>
      <w:numFmt w:val="bullet"/>
      <w:lvlText w:val="o"/>
      <w:lvlJc w:val="left"/>
      <w:pPr>
        <w:tabs>
          <w:tab w:val="num" w:pos="3600"/>
        </w:tabs>
        <w:ind w:left="3600" w:hanging="360"/>
      </w:pPr>
      <w:rPr>
        <w:rFonts w:ascii="Courier New" w:hAnsi="Courier New"/>
      </w:rPr>
    </w:lvl>
    <w:lvl w:ilvl="5" w:tplc="5B1A793A">
      <w:start w:val="1"/>
      <w:numFmt w:val="bullet"/>
      <w:lvlText w:val=""/>
      <w:lvlJc w:val="left"/>
      <w:pPr>
        <w:tabs>
          <w:tab w:val="num" w:pos="4320"/>
        </w:tabs>
        <w:ind w:left="4320" w:hanging="360"/>
      </w:pPr>
      <w:rPr>
        <w:rFonts w:ascii="Wingdings" w:hAnsi="Wingdings"/>
      </w:rPr>
    </w:lvl>
    <w:lvl w:ilvl="6" w:tplc="231AE722">
      <w:start w:val="1"/>
      <w:numFmt w:val="bullet"/>
      <w:lvlText w:val=""/>
      <w:lvlJc w:val="left"/>
      <w:pPr>
        <w:tabs>
          <w:tab w:val="num" w:pos="5040"/>
        </w:tabs>
        <w:ind w:left="5040" w:hanging="360"/>
      </w:pPr>
      <w:rPr>
        <w:rFonts w:ascii="Symbol" w:hAnsi="Symbol"/>
      </w:rPr>
    </w:lvl>
    <w:lvl w:ilvl="7" w:tplc="96861726">
      <w:start w:val="1"/>
      <w:numFmt w:val="bullet"/>
      <w:lvlText w:val="o"/>
      <w:lvlJc w:val="left"/>
      <w:pPr>
        <w:tabs>
          <w:tab w:val="num" w:pos="5760"/>
        </w:tabs>
        <w:ind w:left="5760" w:hanging="360"/>
      </w:pPr>
      <w:rPr>
        <w:rFonts w:ascii="Courier New" w:hAnsi="Courier New"/>
      </w:rPr>
    </w:lvl>
    <w:lvl w:ilvl="8" w:tplc="51BC0E52">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7EC83A">
      <w:start w:val="1"/>
      <w:numFmt w:val="bullet"/>
      <w:lvlText w:val="•"/>
      <w:lvlJc w:val="left"/>
      <w:pPr>
        <w:tabs>
          <w:tab w:val="num" w:pos="720"/>
        </w:tabs>
        <w:ind w:left="720" w:hanging="360"/>
      </w:pPr>
      <w:rPr>
        <w:rFonts w:ascii="Arial" w:eastAsia="Arial" w:hAnsi="Arial" w:cs="Arial"/>
        <w:b/>
        <w:i w:val="0"/>
        <w:strike w:val="0"/>
        <w:sz w:val="20"/>
      </w:rPr>
    </w:lvl>
    <w:lvl w:ilvl="1" w:tplc="EA8EFBE0">
      <w:start w:val="1"/>
      <w:numFmt w:val="bullet"/>
      <w:lvlText w:val="o"/>
      <w:lvlJc w:val="left"/>
      <w:pPr>
        <w:tabs>
          <w:tab w:val="num" w:pos="1440"/>
        </w:tabs>
        <w:ind w:left="1440" w:hanging="360"/>
      </w:pPr>
      <w:rPr>
        <w:rFonts w:ascii="Courier New" w:hAnsi="Courier New"/>
      </w:rPr>
    </w:lvl>
    <w:lvl w:ilvl="2" w:tplc="4B021B2E">
      <w:start w:val="1"/>
      <w:numFmt w:val="bullet"/>
      <w:lvlText w:val=""/>
      <w:lvlJc w:val="left"/>
      <w:pPr>
        <w:tabs>
          <w:tab w:val="num" w:pos="2160"/>
        </w:tabs>
        <w:ind w:left="2160" w:hanging="360"/>
      </w:pPr>
      <w:rPr>
        <w:rFonts w:ascii="Wingdings" w:hAnsi="Wingdings"/>
      </w:rPr>
    </w:lvl>
    <w:lvl w:ilvl="3" w:tplc="036C9584">
      <w:start w:val="1"/>
      <w:numFmt w:val="bullet"/>
      <w:lvlText w:val=""/>
      <w:lvlJc w:val="left"/>
      <w:pPr>
        <w:tabs>
          <w:tab w:val="num" w:pos="2880"/>
        </w:tabs>
        <w:ind w:left="2880" w:hanging="360"/>
      </w:pPr>
      <w:rPr>
        <w:rFonts w:ascii="Symbol" w:hAnsi="Symbol"/>
      </w:rPr>
    </w:lvl>
    <w:lvl w:ilvl="4" w:tplc="874A88B4">
      <w:start w:val="1"/>
      <w:numFmt w:val="bullet"/>
      <w:lvlText w:val="o"/>
      <w:lvlJc w:val="left"/>
      <w:pPr>
        <w:tabs>
          <w:tab w:val="num" w:pos="3600"/>
        </w:tabs>
        <w:ind w:left="3600" w:hanging="360"/>
      </w:pPr>
      <w:rPr>
        <w:rFonts w:ascii="Courier New" w:hAnsi="Courier New"/>
      </w:rPr>
    </w:lvl>
    <w:lvl w:ilvl="5" w:tplc="F78C73C2">
      <w:start w:val="1"/>
      <w:numFmt w:val="bullet"/>
      <w:lvlText w:val=""/>
      <w:lvlJc w:val="left"/>
      <w:pPr>
        <w:tabs>
          <w:tab w:val="num" w:pos="4320"/>
        </w:tabs>
        <w:ind w:left="4320" w:hanging="360"/>
      </w:pPr>
      <w:rPr>
        <w:rFonts w:ascii="Wingdings" w:hAnsi="Wingdings"/>
      </w:rPr>
    </w:lvl>
    <w:lvl w:ilvl="6" w:tplc="6B4CAC6A">
      <w:start w:val="1"/>
      <w:numFmt w:val="bullet"/>
      <w:lvlText w:val=""/>
      <w:lvlJc w:val="left"/>
      <w:pPr>
        <w:tabs>
          <w:tab w:val="num" w:pos="5040"/>
        </w:tabs>
        <w:ind w:left="5040" w:hanging="360"/>
      </w:pPr>
      <w:rPr>
        <w:rFonts w:ascii="Symbol" w:hAnsi="Symbol"/>
      </w:rPr>
    </w:lvl>
    <w:lvl w:ilvl="7" w:tplc="CF442274">
      <w:start w:val="1"/>
      <w:numFmt w:val="bullet"/>
      <w:lvlText w:val="o"/>
      <w:lvlJc w:val="left"/>
      <w:pPr>
        <w:tabs>
          <w:tab w:val="num" w:pos="5760"/>
        </w:tabs>
        <w:ind w:left="5760" w:hanging="360"/>
      </w:pPr>
      <w:rPr>
        <w:rFonts w:ascii="Courier New" w:hAnsi="Courier New"/>
      </w:rPr>
    </w:lvl>
    <w:lvl w:ilvl="8" w:tplc="4030C26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CAFE1992">
      <w:start w:val="1"/>
      <w:numFmt w:val="bullet"/>
      <w:lvlText w:val="•"/>
      <w:lvlJc w:val="left"/>
      <w:pPr>
        <w:tabs>
          <w:tab w:val="num" w:pos="720"/>
        </w:tabs>
        <w:ind w:left="720" w:hanging="360"/>
      </w:pPr>
      <w:rPr>
        <w:rFonts w:ascii="Arial" w:eastAsia="Arial" w:hAnsi="Arial" w:cs="Arial"/>
        <w:b/>
        <w:i w:val="0"/>
        <w:strike w:val="0"/>
        <w:sz w:val="20"/>
      </w:rPr>
    </w:lvl>
    <w:lvl w:ilvl="1" w:tplc="640EFC16">
      <w:start w:val="1"/>
      <w:numFmt w:val="bullet"/>
      <w:lvlText w:val="o"/>
      <w:lvlJc w:val="left"/>
      <w:pPr>
        <w:tabs>
          <w:tab w:val="num" w:pos="1440"/>
        </w:tabs>
        <w:ind w:left="1440" w:hanging="360"/>
      </w:pPr>
      <w:rPr>
        <w:rFonts w:ascii="Courier New" w:hAnsi="Courier New"/>
      </w:rPr>
    </w:lvl>
    <w:lvl w:ilvl="2" w:tplc="5DD66E4C">
      <w:start w:val="1"/>
      <w:numFmt w:val="bullet"/>
      <w:lvlText w:val=""/>
      <w:lvlJc w:val="left"/>
      <w:pPr>
        <w:tabs>
          <w:tab w:val="num" w:pos="2160"/>
        </w:tabs>
        <w:ind w:left="2160" w:hanging="360"/>
      </w:pPr>
      <w:rPr>
        <w:rFonts w:ascii="Wingdings" w:hAnsi="Wingdings"/>
      </w:rPr>
    </w:lvl>
    <w:lvl w:ilvl="3" w:tplc="FB408954">
      <w:start w:val="1"/>
      <w:numFmt w:val="bullet"/>
      <w:lvlText w:val=""/>
      <w:lvlJc w:val="left"/>
      <w:pPr>
        <w:tabs>
          <w:tab w:val="num" w:pos="2880"/>
        </w:tabs>
        <w:ind w:left="2880" w:hanging="360"/>
      </w:pPr>
      <w:rPr>
        <w:rFonts w:ascii="Symbol" w:hAnsi="Symbol"/>
      </w:rPr>
    </w:lvl>
    <w:lvl w:ilvl="4" w:tplc="CA746D3E">
      <w:start w:val="1"/>
      <w:numFmt w:val="bullet"/>
      <w:lvlText w:val="o"/>
      <w:lvlJc w:val="left"/>
      <w:pPr>
        <w:tabs>
          <w:tab w:val="num" w:pos="3600"/>
        </w:tabs>
        <w:ind w:left="3600" w:hanging="360"/>
      </w:pPr>
      <w:rPr>
        <w:rFonts w:ascii="Courier New" w:hAnsi="Courier New"/>
      </w:rPr>
    </w:lvl>
    <w:lvl w:ilvl="5" w:tplc="4C409EE4">
      <w:start w:val="1"/>
      <w:numFmt w:val="bullet"/>
      <w:lvlText w:val=""/>
      <w:lvlJc w:val="left"/>
      <w:pPr>
        <w:tabs>
          <w:tab w:val="num" w:pos="4320"/>
        </w:tabs>
        <w:ind w:left="4320" w:hanging="360"/>
      </w:pPr>
      <w:rPr>
        <w:rFonts w:ascii="Wingdings" w:hAnsi="Wingdings"/>
      </w:rPr>
    </w:lvl>
    <w:lvl w:ilvl="6" w:tplc="107CB504">
      <w:start w:val="1"/>
      <w:numFmt w:val="bullet"/>
      <w:lvlText w:val=""/>
      <w:lvlJc w:val="left"/>
      <w:pPr>
        <w:tabs>
          <w:tab w:val="num" w:pos="5040"/>
        </w:tabs>
        <w:ind w:left="5040" w:hanging="360"/>
      </w:pPr>
      <w:rPr>
        <w:rFonts w:ascii="Symbol" w:hAnsi="Symbol"/>
      </w:rPr>
    </w:lvl>
    <w:lvl w:ilvl="7" w:tplc="06508CC2">
      <w:start w:val="1"/>
      <w:numFmt w:val="bullet"/>
      <w:lvlText w:val="o"/>
      <w:lvlJc w:val="left"/>
      <w:pPr>
        <w:tabs>
          <w:tab w:val="num" w:pos="5760"/>
        </w:tabs>
        <w:ind w:left="5760" w:hanging="360"/>
      </w:pPr>
      <w:rPr>
        <w:rFonts w:ascii="Courier New" w:hAnsi="Courier New"/>
      </w:rPr>
    </w:lvl>
    <w:lvl w:ilvl="8" w:tplc="81004182">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CD7CC178">
      <w:start w:val="1"/>
      <w:numFmt w:val="bullet"/>
      <w:lvlText w:val="•"/>
      <w:lvlJc w:val="left"/>
      <w:pPr>
        <w:tabs>
          <w:tab w:val="num" w:pos="720"/>
        </w:tabs>
        <w:ind w:left="720" w:hanging="360"/>
      </w:pPr>
      <w:rPr>
        <w:rFonts w:ascii="Arial" w:eastAsia="Arial" w:hAnsi="Arial" w:cs="Arial"/>
        <w:b/>
        <w:i/>
        <w:strike w:val="0"/>
        <w:sz w:val="20"/>
      </w:rPr>
    </w:lvl>
    <w:lvl w:ilvl="1" w:tplc="8C46F23C">
      <w:start w:val="1"/>
      <w:numFmt w:val="bullet"/>
      <w:lvlText w:val="o"/>
      <w:lvlJc w:val="left"/>
      <w:pPr>
        <w:tabs>
          <w:tab w:val="num" w:pos="1440"/>
        </w:tabs>
        <w:ind w:left="1440" w:hanging="360"/>
      </w:pPr>
      <w:rPr>
        <w:rFonts w:ascii="Courier New" w:hAnsi="Courier New"/>
      </w:rPr>
    </w:lvl>
    <w:lvl w:ilvl="2" w:tplc="8ED891EC">
      <w:start w:val="1"/>
      <w:numFmt w:val="bullet"/>
      <w:lvlText w:val=""/>
      <w:lvlJc w:val="left"/>
      <w:pPr>
        <w:tabs>
          <w:tab w:val="num" w:pos="2160"/>
        </w:tabs>
        <w:ind w:left="2160" w:hanging="360"/>
      </w:pPr>
      <w:rPr>
        <w:rFonts w:ascii="Wingdings" w:hAnsi="Wingdings"/>
      </w:rPr>
    </w:lvl>
    <w:lvl w:ilvl="3" w:tplc="76786CD8">
      <w:start w:val="1"/>
      <w:numFmt w:val="bullet"/>
      <w:lvlText w:val=""/>
      <w:lvlJc w:val="left"/>
      <w:pPr>
        <w:tabs>
          <w:tab w:val="num" w:pos="2880"/>
        </w:tabs>
        <w:ind w:left="2880" w:hanging="360"/>
      </w:pPr>
      <w:rPr>
        <w:rFonts w:ascii="Symbol" w:hAnsi="Symbol"/>
      </w:rPr>
    </w:lvl>
    <w:lvl w:ilvl="4" w:tplc="2B72FFB6">
      <w:start w:val="1"/>
      <w:numFmt w:val="bullet"/>
      <w:lvlText w:val="o"/>
      <w:lvlJc w:val="left"/>
      <w:pPr>
        <w:tabs>
          <w:tab w:val="num" w:pos="3600"/>
        </w:tabs>
        <w:ind w:left="3600" w:hanging="360"/>
      </w:pPr>
      <w:rPr>
        <w:rFonts w:ascii="Courier New" w:hAnsi="Courier New"/>
      </w:rPr>
    </w:lvl>
    <w:lvl w:ilvl="5" w:tplc="A432BB0A">
      <w:start w:val="1"/>
      <w:numFmt w:val="bullet"/>
      <w:lvlText w:val=""/>
      <w:lvlJc w:val="left"/>
      <w:pPr>
        <w:tabs>
          <w:tab w:val="num" w:pos="4320"/>
        </w:tabs>
        <w:ind w:left="4320" w:hanging="360"/>
      </w:pPr>
      <w:rPr>
        <w:rFonts w:ascii="Wingdings" w:hAnsi="Wingdings"/>
      </w:rPr>
    </w:lvl>
    <w:lvl w:ilvl="6" w:tplc="F0B27704">
      <w:start w:val="1"/>
      <w:numFmt w:val="bullet"/>
      <w:lvlText w:val=""/>
      <w:lvlJc w:val="left"/>
      <w:pPr>
        <w:tabs>
          <w:tab w:val="num" w:pos="5040"/>
        </w:tabs>
        <w:ind w:left="5040" w:hanging="360"/>
      </w:pPr>
      <w:rPr>
        <w:rFonts w:ascii="Symbol" w:hAnsi="Symbol"/>
      </w:rPr>
    </w:lvl>
    <w:lvl w:ilvl="7" w:tplc="614278E4">
      <w:start w:val="1"/>
      <w:numFmt w:val="bullet"/>
      <w:lvlText w:val="o"/>
      <w:lvlJc w:val="left"/>
      <w:pPr>
        <w:tabs>
          <w:tab w:val="num" w:pos="5760"/>
        </w:tabs>
        <w:ind w:left="5760" w:hanging="360"/>
      </w:pPr>
      <w:rPr>
        <w:rFonts w:ascii="Courier New" w:hAnsi="Courier New"/>
      </w:rPr>
    </w:lvl>
    <w:lvl w:ilvl="8" w:tplc="461E5462">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C65E9A30">
      <w:start w:val="1"/>
      <w:numFmt w:val="bullet"/>
      <w:lvlText w:val="•"/>
      <w:lvlJc w:val="left"/>
      <w:pPr>
        <w:tabs>
          <w:tab w:val="num" w:pos="720"/>
        </w:tabs>
        <w:ind w:left="720" w:hanging="360"/>
      </w:pPr>
      <w:rPr>
        <w:rFonts w:ascii="Arial" w:eastAsia="Arial" w:hAnsi="Arial" w:cs="Arial"/>
        <w:b/>
        <w:i/>
        <w:strike w:val="0"/>
        <w:sz w:val="20"/>
      </w:rPr>
    </w:lvl>
    <w:lvl w:ilvl="1" w:tplc="956486BE">
      <w:start w:val="1"/>
      <w:numFmt w:val="bullet"/>
      <w:lvlText w:val="o"/>
      <w:lvlJc w:val="left"/>
      <w:pPr>
        <w:tabs>
          <w:tab w:val="num" w:pos="1440"/>
        </w:tabs>
        <w:ind w:left="1440" w:hanging="360"/>
      </w:pPr>
      <w:rPr>
        <w:rFonts w:ascii="Courier New" w:hAnsi="Courier New"/>
      </w:rPr>
    </w:lvl>
    <w:lvl w:ilvl="2" w:tplc="C554C1D6">
      <w:start w:val="1"/>
      <w:numFmt w:val="bullet"/>
      <w:lvlText w:val=""/>
      <w:lvlJc w:val="left"/>
      <w:pPr>
        <w:tabs>
          <w:tab w:val="num" w:pos="2160"/>
        </w:tabs>
        <w:ind w:left="2160" w:hanging="360"/>
      </w:pPr>
      <w:rPr>
        <w:rFonts w:ascii="Wingdings" w:hAnsi="Wingdings"/>
      </w:rPr>
    </w:lvl>
    <w:lvl w:ilvl="3" w:tplc="DA6E32AC">
      <w:start w:val="1"/>
      <w:numFmt w:val="bullet"/>
      <w:lvlText w:val=""/>
      <w:lvlJc w:val="left"/>
      <w:pPr>
        <w:tabs>
          <w:tab w:val="num" w:pos="2880"/>
        </w:tabs>
        <w:ind w:left="2880" w:hanging="360"/>
      </w:pPr>
      <w:rPr>
        <w:rFonts w:ascii="Symbol" w:hAnsi="Symbol"/>
      </w:rPr>
    </w:lvl>
    <w:lvl w:ilvl="4" w:tplc="7DF6A73A">
      <w:start w:val="1"/>
      <w:numFmt w:val="bullet"/>
      <w:lvlText w:val="o"/>
      <w:lvlJc w:val="left"/>
      <w:pPr>
        <w:tabs>
          <w:tab w:val="num" w:pos="3600"/>
        </w:tabs>
        <w:ind w:left="3600" w:hanging="360"/>
      </w:pPr>
      <w:rPr>
        <w:rFonts w:ascii="Courier New" w:hAnsi="Courier New"/>
      </w:rPr>
    </w:lvl>
    <w:lvl w:ilvl="5" w:tplc="E80A4560">
      <w:start w:val="1"/>
      <w:numFmt w:val="bullet"/>
      <w:lvlText w:val=""/>
      <w:lvlJc w:val="left"/>
      <w:pPr>
        <w:tabs>
          <w:tab w:val="num" w:pos="4320"/>
        </w:tabs>
        <w:ind w:left="4320" w:hanging="360"/>
      </w:pPr>
      <w:rPr>
        <w:rFonts w:ascii="Wingdings" w:hAnsi="Wingdings"/>
      </w:rPr>
    </w:lvl>
    <w:lvl w:ilvl="6" w:tplc="C3CE3AEE">
      <w:start w:val="1"/>
      <w:numFmt w:val="bullet"/>
      <w:lvlText w:val=""/>
      <w:lvlJc w:val="left"/>
      <w:pPr>
        <w:tabs>
          <w:tab w:val="num" w:pos="5040"/>
        </w:tabs>
        <w:ind w:left="5040" w:hanging="360"/>
      </w:pPr>
      <w:rPr>
        <w:rFonts w:ascii="Symbol" w:hAnsi="Symbol"/>
      </w:rPr>
    </w:lvl>
    <w:lvl w:ilvl="7" w:tplc="4E42C742">
      <w:start w:val="1"/>
      <w:numFmt w:val="bullet"/>
      <w:lvlText w:val="o"/>
      <w:lvlJc w:val="left"/>
      <w:pPr>
        <w:tabs>
          <w:tab w:val="num" w:pos="5760"/>
        </w:tabs>
        <w:ind w:left="5760" w:hanging="360"/>
      </w:pPr>
      <w:rPr>
        <w:rFonts w:ascii="Courier New" w:hAnsi="Courier New"/>
      </w:rPr>
    </w:lvl>
    <w:lvl w:ilvl="8" w:tplc="A9B40C5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875AFF08">
      <w:start w:val="1"/>
      <w:numFmt w:val="bullet"/>
      <w:lvlText w:val="•"/>
      <w:lvlJc w:val="left"/>
      <w:pPr>
        <w:tabs>
          <w:tab w:val="num" w:pos="720"/>
        </w:tabs>
        <w:ind w:left="720" w:hanging="360"/>
      </w:pPr>
      <w:rPr>
        <w:rFonts w:ascii="Arial" w:eastAsia="Arial" w:hAnsi="Arial" w:cs="Arial"/>
        <w:b/>
        <w:i/>
        <w:strike w:val="0"/>
        <w:sz w:val="20"/>
      </w:rPr>
    </w:lvl>
    <w:lvl w:ilvl="1" w:tplc="976EE3C8">
      <w:start w:val="1"/>
      <w:numFmt w:val="bullet"/>
      <w:lvlText w:val="o"/>
      <w:lvlJc w:val="left"/>
      <w:pPr>
        <w:tabs>
          <w:tab w:val="num" w:pos="1440"/>
        </w:tabs>
        <w:ind w:left="1440" w:hanging="360"/>
      </w:pPr>
      <w:rPr>
        <w:rFonts w:ascii="Courier New" w:hAnsi="Courier New"/>
      </w:rPr>
    </w:lvl>
    <w:lvl w:ilvl="2" w:tplc="ECB09C64">
      <w:start w:val="1"/>
      <w:numFmt w:val="bullet"/>
      <w:lvlText w:val=""/>
      <w:lvlJc w:val="left"/>
      <w:pPr>
        <w:tabs>
          <w:tab w:val="num" w:pos="2160"/>
        </w:tabs>
        <w:ind w:left="2160" w:hanging="360"/>
      </w:pPr>
      <w:rPr>
        <w:rFonts w:ascii="Wingdings" w:hAnsi="Wingdings"/>
      </w:rPr>
    </w:lvl>
    <w:lvl w:ilvl="3" w:tplc="184C9F7E">
      <w:start w:val="1"/>
      <w:numFmt w:val="bullet"/>
      <w:lvlText w:val=""/>
      <w:lvlJc w:val="left"/>
      <w:pPr>
        <w:tabs>
          <w:tab w:val="num" w:pos="2880"/>
        </w:tabs>
        <w:ind w:left="2880" w:hanging="360"/>
      </w:pPr>
      <w:rPr>
        <w:rFonts w:ascii="Symbol" w:hAnsi="Symbol"/>
      </w:rPr>
    </w:lvl>
    <w:lvl w:ilvl="4" w:tplc="212256CE">
      <w:start w:val="1"/>
      <w:numFmt w:val="bullet"/>
      <w:lvlText w:val="o"/>
      <w:lvlJc w:val="left"/>
      <w:pPr>
        <w:tabs>
          <w:tab w:val="num" w:pos="3600"/>
        </w:tabs>
        <w:ind w:left="3600" w:hanging="360"/>
      </w:pPr>
      <w:rPr>
        <w:rFonts w:ascii="Courier New" w:hAnsi="Courier New"/>
      </w:rPr>
    </w:lvl>
    <w:lvl w:ilvl="5" w:tplc="8B0E3614">
      <w:start w:val="1"/>
      <w:numFmt w:val="bullet"/>
      <w:lvlText w:val=""/>
      <w:lvlJc w:val="left"/>
      <w:pPr>
        <w:tabs>
          <w:tab w:val="num" w:pos="4320"/>
        </w:tabs>
        <w:ind w:left="4320" w:hanging="360"/>
      </w:pPr>
      <w:rPr>
        <w:rFonts w:ascii="Wingdings" w:hAnsi="Wingdings"/>
      </w:rPr>
    </w:lvl>
    <w:lvl w:ilvl="6" w:tplc="F5FEA160">
      <w:start w:val="1"/>
      <w:numFmt w:val="bullet"/>
      <w:lvlText w:val=""/>
      <w:lvlJc w:val="left"/>
      <w:pPr>
        <w:tabs>
          <w:tab w:val="num" w:pos="5040"/>
        </w:tabs>
        <w:ind w:left="5040" w:hanging="360"/>
      </w:pPr>
      <w:rPr>
        <w:rFonts w:ascii="Symbol" w:hAnsi="Symbol"/>
      </w:rPr>
    </w:lvl>
    <w:lvl w:ilvl="7" w:tplc="4DBE0958">
      <w:start w:val="1"/>
      <w:numFmt w:val="bullet"/>
      <w:lvlText w:val="o"/>
      <w:lvlJc w:val="left"/>
      <w:pPr>
        <w:tabs>
          <w:tab w:val="num" w:pos="5760"/>
        </w:tabs>
        <w:ind w:left="5760" w:hanging="360"/>
      </w:pPr>
      <w:rPr>
        <w:rFonts w:ascii="Courier New" w:hAnsi="Courier New"/>
      </w:rPr>
    </w:lvl>
    <w:lvl w:ilvl="8" w:tplc="E63C17E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C152F03C">
      <w:start w:val="1"/>
      <w:numFmt w:val="bullet"/>
      <w:lvlText w:val="•"/>
      <w:lvlJc w:val="left"/>
      <w:pPr>
        <w:tabs>
          <w:tab w:val="num" w:pos="720"/>
        </w:tabs>
        <w:ind w:left="720" w:hanging="360"/>
      </w:pPr>
      <w:rPr>
        <w:rFonts w:ascii="Arial" w:eastAsia="Arial" w:hAnsi="Arial" w:cs="Arial"/>
        <w:b/>
        <w:i w:val="0"/>
        <w:strike w:val="0"/>
        <w:sz w:val="20"/>
      </w:rPr>
    </w:lvl>
    <w:lvl w:ilvl="1" w:tplc="AF48E97A">
      <w:start w:val="1"/>
      <w:numFmt w:val="bullet"/>
      <w:lvlText w:val="o"/>
      <w:lvlJc w:val="left"/>
      <w:pPr>
        <w:tabs>
          <w:tab w:val="num" w:pos="1440"/>
        </w:tabs>
        <w:ind w:left="1440" w:hanging="360"/>
      </w:pPr>
      <w:rPr>
        <w:rFonts w:ascii="Courier New" w:hAnsi="Courier New"/>
      </w:rPr>
    </w:lvl>
    <w:lvl w:ilvl="2" w:tplc="AD1A4F2C">
      <w:start w:val="1"/>
      <w:numFmt w:val="bullet"/>
      <w:lvlText w:val=""/>
      <w:lvlJc w:val="left"/>
      <w:pPr>
        <w:tabs>
          <w:tab w:val="num" w:pos="2160"/>
        </w:tabs>
        <w:ind w:left="2160" w:hanging="360"/>
      </w:pPr>
      <w:rPr>
        <w:rFonts w:ascii="Wingdings" w:hAnsi="Wingdings"/>
      </w:rPr>
    </w:lvl>
    <w:lvl w:ilvl="3" w:tplc="B95EE50E">
      <w:start w:val="1"/>
      <w:numFmt w:val="bullet"/>
      <w:lvlText w:val=""/>
      <w:lvlJc w:val="left"/>
      <w:pPr>
        <w:tabs>
          <w:tab w:val="num" w:pos="2880"/>
        </w:tabs>
        <w:ind w:left="2880" w:hanging="360"/>
      </w:pPr>
      <w:rPr>
        <w:rFonts w:ascii="Symbol" w:hAnsi="Symbol"/>
      </w:rPr>
    </w:lvl>
    <w:lvl w:ilvl="4" w:tplc="ED4C3E30">
      <w:start w:val="1"/>
      <w:numFmt w:val="bullet"/>
      <w:lvlText w:val="o"/>
      <w:lvlJc w:val="left"/>
      <w:pPr>
        <w:tabs>
          <w:tab w:val="num" w:pos="3600"/>
        </w:tabs>
        <w:ind w:left="3600" w:hanging="360"/>
      </w:pPr>
      <w:rPr>
        <w:rFonts w:ascii="Courier New" w:hAnsi="Courier New"/>
      </w:rPr>
    </w:lvl>
    <w:lvl w:ilvl="5" w:tplc="41E672A0">
      <w:start w:val="1"/>
      <w:numFmt w:val="bullet"/>
      <w:lvlText w:val=""/>
      <w:lvlJc w:val="left"/>
      <w:pPr>
        <w:tabs>
          <w:tab w:val="num" w:pos="4320"/>
        </w:tabs>
        <w:ind w:left="4320" w:hanging="360"/>
      </w:pPr>
      <w:rPr>
        <w:rFonts w:ascii="Wingdings" w:hAnsi="Wingdings"/>
      </w:rPr>
    </w:lvl>
    <w:lvl w:ilvl="6" w:tplc="E084A80C">
      <w:start w:val="1"/>
      <w:numFmt w:val="bullet"/>
      <w:lvlText w:val=""/>
      <w:lvlJc w:val="left"/>
      <w:pPr>
        <w:tabs>
          <w:tab w:val="num" w:pos="5040"/>
        </w:tabs>
        <w:ind w:left="5040" w:hanging="360"/>
      </w:pPr>
      <w:rPr>
        <w:rFonts w:ascii="Symbol" w:hAnsi="Symbol"/>
      </w:rPr>
    </w:lvl>
    <w:lvl w:ilvl="7" w:tplc="774645DC">
      <w:start w:val="1"/>
      <w:numFmt w:val="bullet"/>
      <w:lvlText w:val="o"/>
      <w:lvlJc w:val="left"/>
      <w:pPr>
        <w:tabs>
          <w:tab w:val="num" w:pos="5760"/>
        </w:tabs>
        <w:ind w:left="5760" w:hanging="360"/>
      </w:pPr>
      <w:rPr>
        <w:rFonts w:ascii="Courier New" w:hAnsi="Courier New"/>
      </w:rPr>
    </w:lvl>
    <w:lvl w:ilvl="8" w:tplc="8AA0BAAA">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42C0308E">
      <w:start w:val="1"/>
      <w:numFmt w:val="bullet"/>
      <w:lvlText w:val="•"/>
      <w:lvlJc w:val="left"/>
      <w:pPr>
        <w:tabs>
          <w:tab w:val="num" w:pos="720"/>
        </w:tabs>
        <w:ind w:left="720" w:hanging="360"/>
      </w:pPr>
      <w:rPr>
        <w:rFonts w:ascii="Arial" w:eastAsia="Arial" w:hAnsi="Arial" w:cs="Arial"/>
        <w:b/>
        <w:i/>
        <w:strike w:val="0"/>
        <w:sz w:val="20"/>
      </w:rPr>
    </w:lvl>
    <w:lvl w:ilvl="1" w:tplc="3D9A8AEE">
      <w:start w:val="1"/>
      <w:numFmt w:val="bullet"/>
      <w:lvlText w:val="o"/>
      <w:lvlJc w:val="left"/>
      <w:pPr>
        <w:tabs>
          <w:tab w:val="num" w:pos="1440"/>
        </w:tabs>
        <w:ind w:left="1440" w:hanging="360"/>
      </w:pPr>
      <w:rPr>
        <w:rFonts w:ascii="Courier New" w:hAnsi="Courier New"/>
      </w:rPr>
    </w:lvl>
    <w:lvl w:ilvl="2" w:tplc="3216D65E">
      <w:start w:val="1"/>
      <w:numFmt w:val="bullet"/>
      <w:lvlText w:val=""/>
      <w:lvlJc w:val="left"/>
      <w:pPr>
        <w:tabs>
          <w:tab w:val="num" w:pos="2160"/>
        </w:tabs>
        <w:ind w:left="2160" w:hanging="360"/>
      </w:pPr>
      <w:rPr>
        <w:rFonts w:ascii="Wingdings" w:hAnsi="Wingdings"/>
      </w:rPr>
    </w:lvl>
    <w:lvl w:ilvl="3" w:tplc="51C689F6">
      <w:start w:val="1"/>
      <w:numFmt w:val="bullet"/>
      <w:lvlText w:val=""/>
      <w:lvlJc w:val="left"/>
      <w:pPr>
        <w:tabs>
          <w:tab w:val="num" w:pos="2880"/>
        </w:tabs>
        <w:ind w:left="2880" w:hanging="360"/>
      </w:pPr>
      <w:rPr>
        <w:rFonts w:ascii="Symbol" w:hAnsi="Symbol"/>
      </w:rPr>
    </w:lvl>
    <w:lvl w:ilvl="4" w:tplc="290C03A8">
      <w:start w:val="1"/>
      <w:numFmt w:val="bullet"/>
      <w:lvlText w:val="o"/>
      <w:lvlJc w:val="left"/>
      <w:pPr>
        <w:tabs>
          <w:tab w:val="num" w:pos="3600"/>
        </w:tabs>
        <w:ind w:left="3600" w:hanging="360"/>
      </w:pPr>
      <w:rPr>
        <w:rFonts w:ascii="Courier New" w:hAnsi="Courier New"/>
      </w:rPr>
    </w:lvl>
    <w:lvl w:ilvl="5" w:tplc="9BB87716">
      <w:start w:val="1"/>
      <w:numFmt w:val="bullet"/>
      <w:lvlText w:val=""/>
      <w:lvlJc w:val="left"/>
      <w:pPr>
        <w:tabs>
          <w:tab w:val="num" w:pos="4320"/>
        </w:tabs>
        <w:ind w:left="4320" w:hanging="360"/>
      </w:pPr>
      <w:rPr>
        <w:rFonts w:ascii="Wingdings" w:hAnsi="Wingdings"/>
      </w:rPr>
    </w:lvl>
    <w:lvl w:ilvl="6" w:tplc="E6CCE3A2">
      <w:start w:val="1"/>
      <w:numFmt w:val="bullet"/>
      <w:lvlText w:val=""/>
      <w:lvlJc w:val="left"/>
      <w:pPr>
        <w:tabs>
          <w:tab w:val="num" w:pos="5040"/>
        </w:tabs>
        <w:ind w:left="5040" w:hanging="360"/>
      </w:pPr>
      <w:rPr>
        <w:rFonts w:ascii="Symbol" w:hAnsi="Symbol"/>
      </w:rPr>
    </w:lvl>
    <w:lvl w:ilvl="7" w:tplc="6C464132">
      <w:start w:val="1"/>
      <w:numFmt w:val="bullet"/>
      <w:lvlText w:val="o"/>
      <w:lvlJc w:val="left"/>
      <w:pPr>
        <w:tabs>
          <w:tab w:val="num" w:pos="5760"/>
        </w:tabs>
        <w:ind w:left="5760" w:hanging="360"/>
      </w:pPr>
      <w:rPr>
        <w:rFonts w:ascii="Courier New" w:hAnsi="Courier New"/>
      </w:rPr>
    </w:lvl>
    <w:lvl w:ilvl="8" w:tplc="88AA6774">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EA320856">
      <w:start w:val="1"/>
      <w:numFmt w:val="bullet"/>
      <w:lvlText w:val="•"/>
      <w:lvlJc w:val="left"/>
      <w:pPr>
        <w:tabs>
          <w:tab w:val="num" w:pos="720"/>
        </w:tabs>
        <w:ind w:left="720" w:hanging="360"/>
      </w:pPr>
      <w:rPr>
        <w:rFonts w:ascii="Arial" w:eastAsia="Arial" w:hAnsi="Arial" w:cs="Arial"/>
        <w:b/>
        <w:i/>
        <w:strike w:val="0"/>
        <w:sz w:val="20"/>
      </w:rPr>
    </w:lvl>
    <w:lvl w:ilvl="1" w:tplc="12243108">
      <w:start w:val="1"/>
      <w:numFmt w:val="bullet"/>
      <w:lvlText w:val="o"/>
      <w:lvlJc w:val="left"/>
      <w:pPr>
        <w:tabs>
          <w:tab w:val="num" w:pos="1440"/>
        </w:tabs>
        <w:ind w:left="1440" w:hanging="360"/>
      </w:pPr>
      <w:rPr>
        <w:rFonts w:ascii="Courier New" w:hAnsi="Courier New"/>
      </w:rPr>
    </w:lvl>
    <w:lvl w:ilvl="2" w:tplc="59022D68">
      <w:start w:val="1"/>
      <w:numFmt w:val="bullet"/>
      <w:lvlText w:val=""/>
      <w:lvlJc w:val="left"/>
      <w:pPr>
        <w:tabs>
          <w:tab w:val="num" w:pos="2160"/>
        </w:tabs>
        <w:ind w:left="2160" w:hanging="360"/>
      </w:pPr>
      <w:rPr>
        <w:rFonts w:ascii="Wingdings" w:hAnsi="Wingdings"/>
      </w:rPr>
    </w:lvl>
    <w:lvl w:ilvl="3" w:tplc="6FF69FB6">
      <w:start w:val="1"/>
      <w:numFmt w:val="bullet"/>
      <w:lvlText w:val=""/>
      <w:lvlJc w:val="left"/>
      <w:pPr>
        <w:tabs>
          <w:tab w:val="num" w:pos="2880"/>
        </w:tabs>
        <w:ind w:left="2880" w:hanging="360"/>
      </w:pPr>
      <w:rPr>
        <w:rFonts w:ascii="Symbol" w:hAnsi="Symbol"/>
      </w:rPr>
    </w:lvl>
    <w:lvl w:ilvl="4" w:tplc="8CB68850">
      <w:start w:val="1"/>
      <w:numFmt w:val="bullet"/>
      <w:lvlText w:val="o"/>
      <w:lvlJc w:val="left"/>
      <w:pPr>
        <w:tabs>
          <w:tab w:val="num" w:pos="3600"/>
        </w:tabs>
        <w:ind w:left="3600" w:hanging="360"/>
      </w:pPr>
      <w:rPr>
        <w:rFonts w:ascii="Courier New" w:hAnsi="Courier New"/>
      </w:rPr>
    </w:lvl>
    <w:lvl w:ilvl="5" w:tplc="CBC0146E">
      <w:start w:val="1"/>
      <w:numFmt w:val="bullet"/>
      <w:lvlText w:val=""/>
      <w:lvlJc w:val="left"/>
      <w:pPr>
        <w:tabs>
          <w:tab w:val="num" w:pos="4320"/>
        </w:tabs>
        <w:ind w:left="4320" w:hanging="360"/>
      </w:pPr>
      <w:rPr>
        <w:rFonts w:ascii="Wingdings" w:hAnsi="Wingdings"/>
      </w:rPr>
    </w:lvl>
    <w:lvl w:ilvl="6" w:tplc="269CA88A">
      <w:start w:val="1"/>
      <w:numFmt w:val="bullet"/>
      <w:lvlText w:val=""/>
      <w:lvlJc w:val="left"/>
      <w:pPr>
        <w:tabs>
          <w:tab w:val="num" w:pos="5040"/>
        </w:tabs>
        <w:ind w:left="5040" w:hanging="360"/>
      </w:pPr>
      <w:rPr>
        <w:rFonts w:ascii="Symbol" w:hAnsi="Symbol"/>
      </w:rPr>
    </w:lvl>
    <w:lvl w:ilvl="7" w:tplc="5F92EF48">
      <w:start w:val="1"/>
      <w:numFmt w:val="bullet"/>
      <w:lvlText w:val="o"/>
      <w:lvlJc w:val="left"/>
      <w:pPr>
        <w:tabs>
          <w:tab w:val="num" w:pos="5760"/>
        </w:tabs>
        <w:ind w:left="5760" w:hanging="360"/>
      </w:pPr>
      <w:rPr>
        <w:rFonts w:ascii="Courier New" w:hAnsi="Courier New"/>
      </w:rPr>
    </w:lvl>
    <w:lvl w:ilvl="8" w:tplc="39304692">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BF442AD2">
      <w:start w:val="1"/>
      <w:numFmt w:val="bullet"/>
      <w:lvlText w:val="•"/>
      <w:lvlJc w:val="left"/>
      <w:pPr>
        <w:tabs>
          <w:tab w:val="num" w:pos="720"/>
        </w:tabs>
        <w:ind w:left="720" w:hanging="360"/>
      </w:pPr>
      <w:rPr>
        <w:rFonts w:ascii="Arial" w:eastAsia="Arial" w:hAnsi="Arial" w:cs="Arial"/>
        <w:b/>
        <w:i/>
        <w:strike w:val="0"/>
        <w:sz w:val="20"/>
      </w:rPr>
    </w:lvl>
    <w:lvl w:ilvl="1" w:tplc="34EA5DDC">
      <w:start w:val="1"/>
      <w:numFmt w:val="bullet"/>
      <w:lvlText w:val="o"/>
      <w:lvlJc w:val="left"/>
      <w:pPr>
        <w:tabs>
          <w:tab w:val="num" w:pos="1440"/>
        </w:tabs>
        <w:ind w:left="1440" w:hanging="360"/>
      </w:pPr>
      <w:rPr>
        <w:rFonts w:ascii="Courier New" w:hAnsi="Courier New"/>
      </w:rPr>
    </w:lvl>
    <w:lvl w:ilvl="2" w:tplc="150A8674">
      <w:start w:val="1"/>
      <w:numFmt w:val="bullet"/>
      <w:lvlText w:val=""/>
      <w:lvlJc w:val="left"/>
      <w:pPr>
        <w:tabs>
          <w:tab w:val="num" w:pos="2160"/>
        </w:tabs>
        <w:ind w:left="2160" w:hanging="360"/>
      </w:pPr>
      <w:rPr>
        <w:rFonts w:ascii="Wingdings" w:hAnsi="Wingdings"/>
      </w:rPr>
    </w:lvl>
    <w:lvl w:ilvl="3" w:tplc="775EB772">
      <w:start w:val="1"/>
      <w:numFmt w:val="bullet"/>
      <w:lvlText w:val=""/>
      <w:lvlJc w:val="left"/>
      <w:pPr>
        <w:tabs>
          <w:tab w:val="num" w:pos="2880"/>
        </w:tabs>
        <w:ind w:left="2880" w:hanging="360"/>
      </w:pPr>
      <w:rPr>
        <w:rFonts w:ascii="Symbol" w:hAnsi="Symbol"/>
      </w:rPr>
    </w:lvl>
    <w:lvl w:ilvl="4" w:tplc="40E27656">
      <w:start w:val="1"/>
      <w:numFmt w:val="bullet"/>
      <w:lvlText w:val="o"/>
      <w:lvlJc w:val="left"/>
      <w:pPr>
        <w:tabs>
          <w:tab w:val="num" w:pos="3600"/>
        </w:tabs>
        <w:ind w:left="3600" w:hanging="360"/>
      </w:pPr>
      <w:rPr>
        <w:rFonts w:ascii="Courier New" w:hAnsi="Courier New"/>
      </w:rPr>
    </w:lvl>
    <w:lvl w:ilvl="5" w:tplc="66FC65D8">
      <w:start w:val="1"/>
      <w:numFmt w:val="bullet"/>
      <w:lvlText w:val=""/>
      <w:lvlJc w:val="left"/>
      <w:pPr>
        <w:tabs>
          <w:tab w:val="num" w:pos="4320"/>
        </w:tabs>
        <w:ind w:left="4320" w:hanging="360"/>
      </w:pPr>
      <w:rPr>
        <w:rFonts w:ascii="Wingdings" w:hAnsi="Wingdings"/>
      </w:rPr>
    </w:lvl>
    <w:lvl w:ilvl="6" w:tplc="771CEA10">
      <w:start w:val="1"/>
      <w:numFmt w:val="bullet"/>
      <w:lvlText w:val=""/>
      <w:lvlJc w:val="left"/>
      <w:pPr>
        <w:tabs>
          <w:tab w:val="num" w:pos="5040"/>
        </w:tabs>
        <w:ind w:left="5040" w:hanging="360"/>
      </w:pPr>
      <w:rPr>
        <w:rFonts w:ascii="Symbol" w:hAnsi="Symbol"/>
      </w:rPr>
    </w:lvl>
    <w:lvl w:ilvl="7" w:tplc="2C88C636">
      <w:start w:val="1"/>
      <w:numFmt w:val="bullet"/>
      <w:lvlText w:val="o"/>
      <w:lvlJc w:val="left"/>
      <w:pPr>
        <w:tabs>
          <w:tab w:val="num" w:pos="5760"/>
        </w:tabs>
        <w:ind w:left="5760" w:hanging="360"/>
      </w:pPr>
      <w:rPr>
        <w:rFonts w:ascii="Courier New" w:hAnsi="Courier New"/>
      </w:rPr>
    </w:lvl>
    <w:lvl w:ilvl="8" w:tplc="B2E0CF46">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FD02E492">
      <w:start w:val="1"/>
      <w:numFmt w:val="bullet"/>
      <w:lvlText w:val="•"/>
      <w:lvlJc w:val="left"/>
      <w:pPr>
        <w:tabs>
          <w:tab w:val="num" w:pos="720"/>
        </w:tabs>
        <w:ind w:left="720" w:hanging="360"/>
      </w:pPr>
      <w:rPr>
        <w:rFonts w:ascii="Arial" w:eastAsia="Arial" w:hAnsi="Arial" w:cs="Arial"/>
        <w:b/>
        <w:i/>
        <w:strike w:val="0"/>
        <w:color w:val="000000"/>
        <w:sz w:val="20"/>
        <w:u w:val="none"/>
        <w:shd w:val="clear" w:color="auto" w:fill="FFFFFF"/>
      </w:rPr>
    </w:lvl>
    <w:lvl w:ilvl="1" w:tplc="72663120">
      <w:start w:val="1"/>
      <w:numFmt w:val="bullet"/>
      <w:lvlText w:val="o"/>
      <w:lvlJc w:val="left"/>
      <w:pPr>
        <w:tabs>
          <w:tab w:val="num" w:pos="1440"/>
        </w:tabs>
        <w:ind w:left="1440" w:hanging="360"/>
      </w:pPr>
      <w:rPr>
        <w:rFonts w:ascii="Courier New" w:hAnsi="Courier New"/>
      </w:rPr>
    </w:lvl>
    <w:lvl w:ilvl="2" w:tplc="E8989E76">
      <w:start w:val="1"/>
      <w:numFmt w:val="bullet"/>
      <w:lvlText w:val=""/>
      <w:lvlJc w:val="left"/>
      <w:pPr>
        <w:tabs>
          <w:tab w:val="num" w:pos="2160"/>
        </w:tabs>
        <w:ind w:left="2160" w:hanging="360"/>
      </w:pPr>
      <w:rPr>
        <w:rFonts w:ascii="Wingdings" w:hAnsi="Wingdings"/>
      </w:rPr>
    </w:lvl>
    <w:lvl w:ilvl="3" w:tplc="BB204F5C">
      <w:start w:val="1"/>
      <w:numFmt w:val="bullet"/>
      <w:lvlText w:val=""/>
      <w:lvlJc w:val="left"/>
      <w:pPr>
        <w:tabs>
          <w:tab w:val="num" w:pos="2880"/>
        </w:tabs>
        <w:ind w:left="2880" w:hanging="360"/>
      </w:pPr>
      <w:rPr>
        <w:rFonts w:ascii="Symbol" w:hAnsi="Symbol"/>
      </w:rPr>
    </w:lvl>
    <w:lvl w:ilvl="4" w:tplc="CD0241B2">
      <w:start w:val="1"/>
      <w:numFmt w:val="bullet"/>
      <w:lvlText w:val="o"/>
      <w:lvlJc w:val="left"/>
      <w:pPr>
        <w:tabs>
          <w:tab w:val="num" w:pos="3600"/>
        </w:tabs>
        <w:ind w:left="3600" w:hanging="360"/>
      </w:pPr>
      <w:rPr>
        <w:rFonts w:ascii="Courier New" w:hAnsi="Courier New"/>
      </w:rPr>
    </w:lvl>
    <w:lvl w:ilvl="5" w:tplc="C61CA910">
      <w:start w:val="1"/>
      <w:numFmt w:val="bullet"/>
      <w:lvlText w:val=""/>
      <w:lvlJc w:val="left"/>
      <w:pPr>
        <w:tabs>
          <w:tab w:val="num" w:pos="4320"/>
        </w:tabs>
        <w:ind w:left="4320" w:hanging="360"/>
      </w:pPr>
      <w:rPr>
        <w:rFonts w:ascii="Wingdings" w:hAnsi="Wingdings"/>
      </w:rPr>
    </w:lvl>
    <w:lvl w:ilvl="6" w:tplc="7E9EE5EC">
      <w:start w:val="1"/>
      <w:numFmt w:val="bullet"/>
      <w:lvlText w:val=""/>
      <w:lvlJc w:val="left"/>
      <w:pPr>
        <w:tabs>
          <w:tab w:val="num" w:pos="5040"/>
        </w:tabs>
        <w:ind w:left="5040" w:hanging="360"/>
      </w:pPr>
      <w:rPr>
        <w:rFonts w:ascii="Symbol" w:hAnsi="Symbol"/>
      </w:rPr>
    </w:lvl>
    <w:lvl w:ilvl="7" w:tplc="3710AF7E">
      <w:start w:val="1"/>
      <w:numFmt w:val="bullet"/>
      <w:lvlText w:val="o"/>
      <w:lvlJc w:val="left"/>
      <w:pPr>
        <w:tabs>
          <w:tab w:val="num" w:pos="5760"/>
        </w:tabs>
        <w:ind w:left="5760" w:hanging="360"/>
      </w:pPr>
      <w:rPr>
        <w:rFonts w:ascii="Courier New" w:hAnsi="Courier New"/>
      </w:rPr>
    </w:lvl>
    <w:lvl w:ilvl="8" w:tplc="207470C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3B20A09E">
      <w:start w:val="1"/>
      <w:numFmt w:val="bullet"/>
      <w:lvlText w:val="•"/>
      <w:lvlJc w:val="left"/>
      <w:pPr>
        <w:tabs>
          <w:tab w:val="num" w:pos="720"/>
        </w:tabs>
        <w:ind w:left="720" w:hanging="360"/>
      </w:pPr>
      <w:rPr>
        <w:rFonts w:ascii="Arial" w:eastAsia="Arial" w:hAnsi="Arial" w:cs="Arial"/>
        <w:b/>
        <w:i w:val="0"/>
        <w:strike w:val="0"/>
        <w:color w:val="000000"/>
        <w:sz w:val="20"/>
        <w:u w:val="none"/>
        <w:shd w:val="clear" w:color="auto" w:fill="FFFFFF"/>
      </w:rPr>
    </w:lvl>
    <w:lvl w:ilvl="1" w:tplc="6F36CDDC">
      <w:start w:val="1"/>
      <w:numFmt w:val="bullet"/>
      <w:lvlText w:val="o"/>
      <w:lvlJc w:val="left"/>
      <w:pPr>
        <w:tabs>
          <w:tab w:val="num" w:pos="1440"/>
        </w:tabs>
        <w:ind w:left="1440" w:hanging="360"/>
      </w:pPr>
      <w:rPr>
        <w:rFonts w:ascii="Courier New" w:hAnsi="Courier New"/>
      </w:rPr>
    </w:lvl>
    <w:lvl w:ilvl="2" w:tplc="27844962">
      <w:start w:val="1"/>
      <w:numFmt w:val="bullet"/>
      <w:lvlText w:val=""/>
      <w:lvlJc w:val="left"/>
      <w:pPr>
        <w:tabs>
          <w:tab w:val="num" w:pos="2160"/>
        </w:tabs>
        <w:ind w:left="2160" w:hanging="360"/>
      </w:pPr>
      <w:rPr>
        <w:rFonts w:ascii="Wingdings" w:hAnsi="Wingdings"/>
      </w:rPr>
    </w:lvl>
    <w:lvl w:ilvl="3" w:tplc="961883E8">
      <w:start w:val="1"/>
      <w:numFmt w:val="bullet"/>
      <w:lvlText w:val=""/>
      <w:lvlJc w:val="left"/>
      <w:pPr>
        <w:tabs>
          <w:tab w:val="num" w:pos="2880"/>
        </w:tabs>
        <w:ind w:left="2880" w:hanging="360"/>
      </w:pPr>
      <w:rPr>
        <w:rFonts w:ascii="Symbol" w:hAnsi="Symbol"/>
      </w:rPr>
    </w:lvl>
    <w:lvl w:ilvl="4" w:tplc="E382B04A">
      <w:start w:val="1"/>
      <w:numFmt w:val="bullet"/>
      <w:lvlText w:val="o"/>
      <w:lvlJc w:val="left"/>
      <w:pPr>
        <w:tabs>
          <w:tab w:val="num" w:pos="3600"/>
        </w:tabs>
        <w:ind w:left="3600" w:hanging="360"/>
      </w:pPr>
      <w:rPr>
        <w:rFonts w:ascii="Courier New" w:hAnsi="Courier New"/>
      </w:rPr>
    </w:lvl>
    <w:lvl w:ilvl="5" w:tplc="B1522CC0">
      <w:start w:val="1"/>
      <w:numFmt w:val="bullet"/>
      <w:lvlText w:val=""/>
      <w:lvlJc w:val="left"/>
      <w:pPr>
        <w:tabs>
          <w:tab w:val="num" w:pos="4320"/>
        </w:tabs>
        <w:ind w:left="4320" w:hanging="360"/>
      </w:pPr>
      <w:rPr>
        <w:rFonts w:ascii="Wingdings" w:hAnsi="Wingdings"/>
      </w:rPr>
    </w:lvl>
    <w:lvl w:ilvl="6" w:tplc="3DAC6ED2">
      <w:start w:val="1"/>
      <w:numFmt w:val="bullet"/>
      <w:lvlText w:val=""/>
      <w:lvlJc w:val="left"/>
      <w:pPr>
        <w:tabs>
          <w:tab w:val="num" w:pos="5040"/>
        </w:tabs>
        <w:ind w:left="5040" w:hanging="360"/>
      </w:pPr>
      <w:rPr>
        <w:rFonts w:ascii="Symbol" w:hAnsi="Symbol"/>
      </w:rPr>
    </w:lvl>
    <w:lvl w:ilvl="7" w:tplc="DD8E3798">
      <w:start w:val="1"/>
      <w:numFmt w:val="bullet"/>
      <w:lvlText w:val="o"/>
      <w:lvlJc w:val="left"/>
      <w:pPr>
        <w:tabs>
          <w:tab w:val="num" w:pos="5760"/>
        </w:tabs>
        <w:ind w:left="5760" w:hanging="360"/>
      </w:pPr>
      <w:rPr>
        <w:rFonts w:ascii="Courier New" w:hAnsi="Courier New"/>
      </w:rPr>
    </w:lvl>
    <w:lvl w:ilvl="8" w:tplc="2F30ADE0">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33B86B34">
      <w:start w:val="1"/>
      <w:numFmt w:val="bullet"/>
      <w:lvlText w:val="•"/>
      <w:lvlJc w:val="left"/>
      <w:pPr>
        <w:tabs>
          <w:tab w:val="num" w:pos="720"/>
        </w:tabs>
        <w:ind w:left="720" w:hanging="360"/>
      </w:pPr>
      <w:rPr>
        <w:rFonts w:ascii="Arial" w:eastAsia="Arial" w:hAnsi="Arial" w:cs="Arial"/>
        <w:b w:val="0"/>
        <w:i w:val="0"/>
        <w:strike w:val="0"/>
        <w:sz w:val="24"/>
      </w:rPr>
    </w:lvl>
    <w:lvl w:ilvl="1" w:tplc="1234B03E">
      <w:start w:val="1"/>
      <w:numFmt w:val="bullet"/>
      <w:lvlText w:val="o"/>
      <w:lvlJc w:val="left"/>
      <w:pPr>
        <w:tabs>
          <w:tab w:val="num" w:pos="1440"/>
        </w:tabs>
        <w:ind w:left="1440" w:hanging="360"/>
      </w:pPr>
      <w:rPr>
        <w:rFonts w:ascii="Courier New" w:hAnsi="Courier New"/>
      </w:rPr>
    </w:lvl>
    <w:lvl w:ilvl="2" w:tplc="DE2A8F26">
      <w:start w:val="1"/>
      <w:numFmt w:val="bullet"/>
      <w:lvlText w:val=""/>
      <w:lvlJc w:val="left"/>
      <w:pPr>
        <w:tabs>
          <w:tab w:val="num" w:pos="2160"/>
        </w:tabs>
        <w:ind w:left="2160" w:hanging="360"/>
      </w:pPr>
      <w:rPr>
        <w:rFonts w:ascii="Wingdings" w:hAnsi="Wingdings"/>
      </w:rPr>
    </w:lvl>
    <w:lvl w:ilvl="3" w:tplc="4BE28ABC">
      <w:start w:val="1"/>
      <w:numFmt w:val="bullet"/>
      <w:lvlText w:val=""/>
      <w:lvlJc w:val="left"/>
      <w:pPr>
        <w:tabs>
          <w:tab w:val="num" w:pos="2880"/>
        </w:tabs>
        <w:ind w:left="2880" w:hanging="360"/>
      </w:pPr>
      <w:rPr>
        <w:rFonts w:ascii="Symbol" w:hAnsi="Symbol"/>
      </w:rPr>
    </w:lvl>
    <w:lvl w:ilvl="4" w:tplc="BD92391E">
      <w:start w:val="1"/>
      <w:numFmt w:val="bullet"/>
      <w:lvlText w:val="o"/>
      <w:lvlJc w:val="left"/>
      <w:pPr>
        <w:tabs>
          <w:tab w:val="num" w:pos="3600"/>
        </w:tabs>
        <w:ind w:left="3600" w:hanging="360"/>
      </w:pPr>
      <w:rPr>
        <w:rFonts w:ascii="Courier New" w:hAnsi="Courier New"/>
      </w:rPr>
    </w:lvl>
    <w:lvl w:ilvl="5" w:tplc="A7F4E928">
      <w:start w:val="1"/>
      <w:numFmt w:val="bullet"/>
      <w:lvlText w:val=""/>
      <w:lvlJc w:val="left"/>
      <w:pPr>
        <w:tabs>
          <w:tab w:val="num" w:pos="4320"/>
        </w:tabs>
        <w:ind w:left="4320" w:hanging="360"/>
      </w:pPr>
      <w:rPr>
        <w:rFonts w:ascii="Wingdings" w:hAnsi="Wingdings"/>
      </w:rPr>
    </w:lvl>
    <w:lvl w:ilvl="6" w:tplc="3C1C68C2">
      <w:start w:val="1"/>
      <w:numFmt w:val="bullet"/>
      <w:lvlText w:val=""/>
      <w:lvlJc w:val="left"/>
      <w:pPr>
        <w:tabs>
          <w:tab w:val="num" w:pos="5040"/>
        </w:tabs>
        <w:ind w:left="5040" w:hanging="360"/>
      </w:pPr>
      <w:rPr>
        <w:rFonts w:ascii="Symbol" w:hAnsi="Symbol"/>
      </w:rPr>
    </w:lvl>
    <w:lvl w:ilvl="7" w:tplc="37D2BC12">
      <w:start w:val="1"/>
      <w:numFmt w:val="bullet"/>
      <w:lvlText w:val="o"/>
      <w:lvlJc w:val="left"/>
      <w:pPr>
        <w:tabs>
          <w:tab w:val="num" w:pos="5760"/>
        </w:tabs>
        <w:ind w:left="5760" w:hanging="360"/>
      </w:pPr>
      <w:rPr>
        <w:rFonts w:ascii="Courier New" w:hAnsi="Courier New"/>
      </w:rPr>
    </w:lvl>
    <w:lvl w:ilvl="8" w:tplc="7928609E">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D460E2DE">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F9BAFAD6">
      <w:start w:val="1"/>
      <w:numFmt w:val="bullet"/>
      <w:lvlText w:val="o"/>
      <w:lvlJc w:val="left"/>
      <w:pPr>
        <w:tabs>
          <w:tab w:val="num" w:pos="1440"/>
        </w:tabs>
        <w:ind w:left="1440" w:hanging="360"/>
      </w:pPr>
      <w:rPr>
        <w:rFonts w:ascii="Courier New" w:hAnsi="Courier New"/>
      </w:rPr>
    </w:lvl>
    <w:lvl w:ilvl="2" w:tplc="949E065C">
      <w:start w:val="1"/>
      <w:numFmt w:val="bullet"/>
      <w:lvlText w:val=""/>
      <w:lvlJc w:val="left"/>
      <w:pPr>
        <w:tabs>
          <w:tab w:val="num" w:pos="2160"/>
        </w:tabs>
        <w:ind w:left="2160" w:hanging="360"/>
      </w:pPr>
      <w:rPr>
        <w:rFonts w:ascii="Wingdings" w:hAnsi="Wingdings"/>
      </w:rPr>
    </w:lvl>
    <w:lvl w:ilvl="3" w:tplc="5106EB66">
      <w:start w:val="1"/>
      <w:numFmt w:val="bullet"/>
      <w:lvlText w:val=""/>
      <w:lvlJc w:val="left"/>
      <w:pPr>
        <w:tabs>
          <w:tab w:val="num" w:pos="2880"/>
        </w:tabs>
        <w:ind w:left="2880" w:hanging="360"/>
      </w:pPr>
      <w:rPr>
        <w:rFonts w:ascii="Symbol" w:hAnsi="Symbol"/>
      </w:rPr>
    </w:lvl>
    <w:lvl w:ilvl="4" w:tplc="59822538">
      <w:start w:val="1"/>
      <w:numFmt w:val="bullet"/>
      <w:lvlText w:val="o"/>
      <w:lvlJc w:val="left"/>
      <w:pPr>
        <w:tabs>
          <w:tab w:val="num" w:pos="3600"/>
        </w:tabs>
        <w:ind w:left="3600" w:hanging="360"/>
      </w:pPr>
      <w:rPr>
        <w:rFonts w:ascii="Courier New" w:hAnsi="Courier New"/>
      </w:rPr>
    </w:lvl>
    <w:lvl w:ilvl="5" w:tplc="3F785672">
      <w:start w:val="1"/>
      <w:numFmt w:val="bullet"/>
      <w:lvlText w:val=""/>
      <w:lvlJc w:val="left"/>
      <w:pPr>
        <w:tabs>
          <w:tab w:val="num" w:pos="4320"/>
        </w:tabs>
        <w:ind w:left="4320" w:hanging="360"/>
      </w:pPr>
      <w:rPr>
        <w:rFonts w:ascii="Wingdings" w:hAnsi="Wingdings"/>
      </w:rPr>
    </w:lvl>
    <w:lvl w:ilvl="6" w:tplc="A4D27D9C">
      <w:start w:val="1"/>
      <w:numFmt w:val="bullet"/>
      <w:lvlText w:val=""/>
      <w:lvlJc w:val="left"/>
      <w:pPr>
        <w:tabs>
          <w:tab w:val="num" w:pos="5040"/>
        </w:tabs>
        <w:ind w:left="5040" w:hanging="360"/>
      </w:pPr>
      <w:rPr>
        <w:rFonts w:ascii="Symbol" w:hAnsi="Symbol"/>
      </w:rPr>
    </w:lvl>
    <w:lvl w:ilvl="7" w:tplc="63A89924">
      <w:start w:val="1"/>
      <w:numFmt w:val="bullet"/>
      <w:lvlText w:val="o"/>
      <w:lvlJc w:val="left"/>
      <w:pPr>
        <w:tabs>
          <w:tab w:val="num" w:pos="5760"/>
        </w:tabs>
        <w:ind w:left="5760" w:hanging="360"/>
      </w:pPr>
      <w:rPr>
        <w:rFonts w:ascii="Courier New" w:hAnsi="Courier New"/>
      </w:rPr>
    </w:lvl>
    <w:lvl w:ilvl="8" w:tplc="A0F8DA34">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9EF25422">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1D5CABC2">
      <w:start w:val="1"/>
      <w:numFmt w:val="bullet"/>
      <w:lvlText w:val="o"/>
      <w:lvlJc w:val="left"/>
      <w:pPr>
        <w:tabs>
          <w:tab w:val="num" w:pos="1440"/>
        </w:tabs>
        <w:ind w:left="1440" w:hanging="360"/>
      </w:pPr>
      <w:rPr>
        <w:rFonts w:ascii="Courier New" w:hAnsi="Courier New"/>
      </w:rPr>
    </w:lvl>
    <w:lvl w:ilvl="2" w:tplc="E27A00B4">
      <w:start w:val="1"/>
      <w:numFmt w:val="bullet"/>
      <w:lvlText w:val=""/>
      <w:lvlJc w:val="left"/>
      <w:pPr>
        <w:tabs>
          <w:tab w:val="num" w:pos="2160"/>
        </w:tabs>
        <w:ind w:left="2160" w:hanging="360"/>
      </w:pPr>
      <w:rPr>
        <w:rFonts w:ascii="Wingdings" w:hAnsi="Wingdings"/>
      </w:rPr>
    </w:lvl>
    <w:lvl w:ilvl="3" w:tplc="303CCB16">
      <w:start w:val="1"/>
      <w:numFmt w:val="bullet"/>
      <w:lvlText w:val=""/>
      <w:lvlJc w:val="left"/>
      <w:pPr>
        <w:tabs>
          <w:tab w:val="num" w:pos="2880"/>
        </w:tabs>
        <w:ind w:left="2880" w:hanging="360"/>
      </w:pPr>
      <w:rPr>
        <w:rFonts w:ascii="Symbol" w:hAnsi="Symbol"/>
      </w:rPr>
    </w:lvl>
    <w:lvl w:ilvl="4" w:tplc="C83C5B5A">
      <w:start w:val="1"/>
      <w:numFmt w:val="bullet"/>
      <w:lvlText w:val="o"/>
      <w:lvlJc w:val="left"/>
      <w:pPr>
        <w:tabs>
          <w:tab w:val="num" w:pos="3600"/>
        </w:tabs>
        <w:ind w:left="3600" w:hanging="360"/>
      </w:pPr>
      <w:rPr>
        <w:rFonts w:ascii="Courier New" w:hAnsi="Courier New"/>
      </w:rPr>
    </w:lvl>
    <w:lvl w:ilvl="5" w:tplc="E8EC2FD8">
      <w:start w:val="1"/>
      <w:numFmt w:val="bullet"/>
      <w:lvlText w:val=""/>
      <w:lvlJc w:val="left"/>
      <w:pPr>
        <w:tabs>
          <w:tab w:val="num" w:pos="4320"/>
        </w:tabs>
        <w:ind w:left="4320" w:hanging="360"/>
      </w:pPr>
      <w:rPr>
        <w:rFonts w:ascii="Wingdings" w:hAnsi="Wingdings"/>
      </w:rPr>
    </w:lvl>
    <w:lvl w:ilvl="6" w:tplc="E5F80A8A">
      <w:start w:val="1"/>
      <w:numFmt w:val="bullet"/>
      <w:lvlText w:val=""/>
      <w:lvlJc w:val="left"/>
      <w:pPr>
        <w:tabs>
          <w:tab w:val="num" w:pos="5040"/>
        </w:tabs>
        <w:ind w:left="5040" w:hanging="360"/>
      </w:pPr>
      <w:rPr>
        <w:rFonts w:ascii="Symbol" w:hAnsi="Symbol"/>
      </w:rPr>
    </w:lvl>
    <w:lvl w:ilvl="7" w:tplc="C818CB04">
      <w:start w:val="1"/>
      <w:numFmt w:val="bullet"/>
      <w:lvlText w:val="o"/>
      <w:lvlJc w:val="left"/>
      <w:pPr>
        <w:tabs>
          <w:tab w:val="num" w:pos="5760"/>
        </w:tabs>
        <w:ind w:left="5760" w:hanging="360"/>
      </w:pPr>
      <w:rPr>
        <w:rFonts w:ascii="Courier New" w:hAnsi="Courier New"/>
      </w:rPr>
    </w:lvl>
    <w:lvl w:ilvl="8" w:tplc="07A22B70">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504C017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325EB642">
      <w:start w:val="1"/>
      <w:numFmt w:val="bullet"/>
      <w:lvlText w:val="o"/>
      <w:lvlJc w:val="left"/>
      <w:pPr>
        <w:tabs>
          <w:tab w:val="num" w:pos="1440"/>
        </w:tabs>
        <w:ind w:left="1440" w:hanging="360"/>
      </w:pPr>
      <w:rPr>
        <w:rFonts w:ascii="Courier New" w:hAnsi="Courier New"/>
      </w:rPr>
    </w:lvl>
    <w:lvl w:ilvl="2" w:tplc="7A1874AC">
      <w:start w:val="1"/>
      <w:numFmt w:val="bullet"/>
      <w:lvlText w:val=""/>
      <w:lvlJc w:val="left"/>
      <w:pPr>
        <w:tabs>
          <w:tab w:val="num" w:pos="2160"/>
        </w:tabs>
        <w:ind w:left="2160" w:hanging="360"/>
      </w:pPr>
      <w:rPr>
        <w:rFonts w:ascii="Wingdings" w:hAnsi="Wingdings"/>
      </w:rPr>
    </w:lvl>
    <w:lvl w:ilvl="3" w:tplc="6D90BB84">
      <w:start w:val="1"/>
      <w:numFmt w:val="bullet"/>
      <w:lvlText w:val=""/>
      <w:lvlJc w:val="left"/>
      <w:pPr>
        <w:tabs>
          <w:tab w:val="num" w:pos="2880"/>
        </w:tabs>
        <w:ind w:left="2880" w:hanging="360"/>
      </w:pPr>
      <w:rPr>
        <w:rFonts w:ascii="Symbol" w:hAnsi="Symbol"/>
      </w:rPr>
    </w:lvl>
    <w:lvl w:ilvl="4" w:tplc="32069D84">
      <w:start w:val="1"/>
      <w:numFmt w:val="bullet"/>
      <w:lvlText w:val="o"/>
      <w:lvlJc w:val="left"/>
      <w:pPr>
        <w:tabs>
          <w:tab w:val="num" w:pos="3600"/>
        </w:tabs>
        <w:ind w:left="3600" w:hanging="360"/>
      </w:pPr>
      <w:rPr>
        <w:rFonts w:ascii="Courier New" w:hAnsi="Courier New"/>
      </w:rPr>
    </w:lvl>
    <w:lvl w:ilvl="5" w:tplc="457C0BB2">
      <w:start w:val="1"/>
      <w:numFmt w:val="bullet"/>
      <w:lvlText w:val=""/>
      <w:lvlJc w:val="left"/>
      <w:pPr>
        <w:tabs>
          <w:tab w:val="num" w:pos="4320"/>
        </w:tabs>
        <w:ind w:left="4320" w:hanging="360"/>
      </w:pPr>
      <w:rPr>
        <w:rFonts w:ascii="Wingdings" w:hAnsi="Wingdings"/>
      </w:rPr>
    </w:lvl>
    <w:lvl w:ilvl="6" w:tplc="EA8EFCEC">
      <w:start w:val="1"/>
      <w:numFmt w:val="bullet"/>
      <w:lvlText w:val=""/>
      <w:lvlJc w:val="left"/>
      <w:pPr>
        <w:tabs>
          <w:tab w:val="num" w:pos="5040"/>
        </w:tabs>
        <w:ind w:left="5040" w:hanging="360"/>
      </w:pPr>
      <w:rPr>
        <w:rFonts w:ascii="Symbol" w:hAnsi="Symbol"/>
      </w:rPr>
    </w:lvl>
    <w:lvl w:ilvl="7" w:tplc="A9FCB8CC">
      <w:start w:val="1"/>
      <w:numFmt w:val="bullet"/>
      <w:lvlText w:val="o"/>
      <w:lvlJc w:val="left"/>
      <w:pPr>
        <w:tabs>
          <w:tab w:val="num" w:pos="5760"/>
        </w:tabs>
        <w:ind w:left="5760" w:hanging="360"/>
      </w:pPr>
      <w:rPr>
        <w:rFonts w:ascii="Courier New" w:hAnsi="Courier New"/>
      </w:rPr>
    </w:lvl>
    <w:lvl w:ilvl="8" w:tplc="04B6F746">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80329C96">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A59E47EE">
      <w:start w:val="1"/>
      <w:numFmt w:val="bullet"/>
      <w:lvlText w:val="o"/>
      <w:lvlJc w:val="left"/>
      <w:pPr>
        <w:tabs>
          <w:tab w:val="num" w:pos="1440"/>
        </w:tabs>
        <w:ind w:left="1440" w:hanging="360"/>
      </w:pPr>
      <w:rPr>
        <w:rFonts w:ascii="Courier New" w:hAnsi="Courier New"/>
      </w:rPr>
    </w:lvl>
    <w:lvl w:ilvl="2" w:tplc="D2E8C2BA">
      <w:start w:val="1"/>
      <w:numFmt w:val="bullet"/>
      <w:lvlText w:val=""/>
      <w:lvlJc w:val="left"/>
      <w:pPr>
        <w:tabs>
          <w:tab w:val="num" w:pos="2160"/>
        </w:tabs>
        <w:ind w:left="2160" w:hanging="360"/>
      </w:pPr>
      <w:rPr>
        <w:rFonts w:ascii="Wingdings" w:hAnsi="Wingdings"/>
      </w:rPr>
    </w:lvl>
    <w:lvl w:ilvl="3" w:tplc="CBC03E6C">
      <w:start w:val="1"/>
      <w:numFmt w:val="bullet"/>
      <w:lvlText w:val=""/>
      <w:lvlJc w:val="left"/>
      <w:pPr>
        <w:tabs>
          <w:tab w:val="num" w:pos="2880"/>
        </w:tabs>
        <w:ind w:left="2880" w:hanging="360"/>
      </w:pPr>
      <w:rPr>
        <w:rFonts w:ascii="Symbol" w:hAnsi="Symbol"/>
      </w:rPr>
    </w:lvl>
    <w:lvl w:ilvl="4" w:tplc="1B366D2C">
      <w:start w:val="1"/>
      <w:numFmt w:val="bullet"/>
      <w:lvlText w:val="o"/>
      <w:lvlJc w:val="left"/>
      <w:pPr>
        <w:tabs>
          <w:tab w:val="num" w:pos="3600"/>
        </w:tabs>
        <w:ind w:left="3600" w:hanging="360"/>
      </w:pPr>
      <w:rPr>
        <w:rFonts w:ascii="Courier New" w:hAnsi="Courier New"/>
      </w:rPr>
    </w:lvl>
    <w:lvl w:ilvl="5" w:tplc="8FA414F6">
      <w:start w:val="1"/>
      <w:numFmt w:val="bullet"/>
      <w:lvlText w:val=""/>
      <w:lvlJc w:val="left"/>
      <w:pPr>
        <w:tabs>
          <w:tab w:val="num" w:pos="4320"/>
        </w:tabs>
        <w:ind w:left="4320" w:hanging="360"/>
      </w:pPr>
      <w:rPr>
        <w:rFonts w:ascii="Wingdings" w:hAnsi="Wingdings"/>
      </w:rPr>
    </w:lvl>
    <w:lvl w:ilvl="6" w:tplc="731A1BA2">
      <w:start w:val="1"/>
      <w:numFmt w:val="bullet"/>
      <w:lvlText w:val=""/>
      <w:lvlJc w:val="left"/>
      <w:pPr>
        <w:tabs>
          <w:tab w:val="num" w:pos="5040"/>
        </w:tabs>
        <w:ind w:left="5040" w:hanging="360"/>
      </w:pPr>
      <w:rPr>
        <w:rFonts w:ascii="Symbol" w:hAnsi="Symbol"/>
      </w:rPr>
    </w:lvl>
    <w:lvl w:ilvl="7" w:tplc="7A9C32D6">
      <w:start w:val="1"/>
      <w:numFmt w:val="bullet"/>
      <w:lvlText w:val="o"/>
      <w:lvlJc w:val="left"/>
      <w:pPr>
        <w:tabs>
          <w:tab w:val="num" w:pos="5760"/>
        </w:tabs>
        <w:ind w:left="5760" w:hanging="360"/>
      </w:pPr>
      <w:rPr>
        <w:rFonts w:ascii="Courier New" w:hAnsi="Courier New"/>
      </w:rPr>
    </w:lvl>
    <w:lvl w:ilvl="8" w:tplc="CC30DB5C">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2916AE5A">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2692055C">
      <w:start w:val="1"/>
      <w:numFmt w:val="bullet"/>
      <w:lvlText w:val="o"/>
      <w:lvlJc w:val="left"/>
      <w:pPr>
        <w:tabs>
          <w:tab w:val="num" w:pos="1440"/>
        </w:tabs>
        <w:ind w:left="1440" w:hanging="360"/>
      </w:pPr>
      <w:rPr>
        <w:rFonts w:ascii="Courier New" w:hAnsi="Courier New"/>
      </w:rPr>
    </w:lvl>
    <w:lvl w:ilvl="2" w:tplc="D5BE6F4E">
      <w:start w:val="1"/>
      <w:numFmt w:val="bullet"/>
      <w:lvlText w:val=""/>
      <w:lvlJc w:val="left"/>
      <w:pPr>
        <w:tabs>
          <w:tab w:val="num" w:pos="2160"/>
        </w:tabs>
        <w:ind w:left="2160" w:hanging="360"/>
      </w:pPr>
      <w:rPr>
        <w:rFonts w:ascii="Wingdings" w:hAnsi="Wingdings"/>
      </w:rPr>
    </w:lvl>
    <w:lvl w:ilvl="3" w:tplc="7D162E9A">
      <w:start w:val="1"/>
      <w:numFmt w:val="bullet"/>
      <w:lvlText w:val=""/>
      <w:lvlJc w:val="left"/>
      <w:pPr>
        <w:tabs>
          <w:tab w:val="num" w:pos="2880"/>
        </w:tabs>
        <w:ind w:left="2880" w:hanging="360"/>
      </w:pPr>
      <w:rPr>
        <w:rFonts w:ascii="Symbol" w:hAnsi="Symbol"/>
      </w:rPr>
    </w:lvl>
    <w:lvl w:ilvl="4" w:tplc="22A0CE12">
      <w:start w:val="1"/>
      <w:numFmt w:val="bullet"/>
      <w:lvlText w:val="o"/>
      <w:lvlJc w:val="left"/>
      <w:pPr>
        <w:tabs>
          <w:tab w:val="num" w:pos="3600"/>
        </w:tabs>
        <w:ind w:left="3600" w:hanging="360"/>
      </w:pPr>
      <w:rPr>
        <w:rFonts w:ascii="Courier New" w:hAnsi="Courier New"/>
      </w:rPr>
    </w:lvl>
    <w:lvl w:ilvl="5" w:tplc="24C63AD8">
      <w:start w:val="1"/>
      <w:numFmt w:val="bullet"/>
      <w:lvlText w:val=""/>
      <w:lvlJc w:val="left"/>
      <w:pPr>
        <w:tabs>
          <w:tab w:val="num" w:pos="4320"/>
        </w:tabs>
        <w:ind w:left="4320" w:hanging="360"/>
      </w:pPr>
      <w:rPr>
        <w:rFonts w:ascii="Wingdings" w:hAnsi="Wingdings"/>
      </w:rPr>
    </w:lvl>
    <w:lvl w:ilvl="6" w:tplc="C3924F78">
      <w:start w:val="1"/>
      <w:numFmt w:val="bullet"/>
      <w:lvlText w:val=""/>
      <w:lvlJc w:val="left"/>
      <w:pPr>
        <w:tabs>
          <w:tab w:val="num" w:pos="5040"/>
        </w:tabs>
        <w:ind w:left="5040" w:hanging="360"/>
      </w:pPr>
      <w:rPr>
        <w:rFonts w:ascii="Symbol" w:hAnsi="Symbol"/>
      </w:rPr>
    </w:lvl>
    <w:lvl w:ilvl="7" w:tplc="0D421642">
      <w:start w:val="1"/>
      <w:numFmt w:val="bullet"/>
      <w:lvlText w:val="o"/>
      <w:lvlJc w:val="left"/>
      <w:pPr>
        <w:tabs>
          <w:tab w:val="num" w:pos="5760"/>
        </w:tabs>
        <w:ind w:left="5760" w:hanging="360"/>
      </w:pPr>
      <w:rPr>
        <w:rFonts w:ascii="Courier New" w:hAnsi="Courier New"/>
      </w:rPr>
    </w:lvl>
    <w:lvl w:ilvl="8" w:tplc="3D344276">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31749CF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CB787A56">
      <w:start w:val="1"/>
      <w:numFmt w:val="bullet"/>
      <w:lvlText w:val="o"/>
      <w:lvlJc w:val="left"/>
      <w:pPr>
        <w:tabs>
          <w:tab w:val="num" w:pos="1440"/>
        </w:tabs>
        <w:ind w:left="1440" w:hanging="360"/>
      </w:pPr>
      <w:rPr>
        <w:rFonts w:ascii="Courier New" w:hAnsi="Courier New"/>
      </w:rPr>
    </w:lvl>
    <w:lvl w:ilvl="2" w:tplc="CC36AACA">
      <w:start w:val="1"/>
      <w:numFmt w:val="bullet"/>
      <w:lvlText w:val=""/>
      <w:lvlJc w:val="left"/>
      <w:pPr>
        <w:tabs>
          <w:tab w:val="num" w:pos="2160"/>
        </w:tabs>
        <w:ind w:left="2160" w:hanging="360"/>
      </w:pPr>
      <w:rPr>
        <w:rFonts w:ascii="Wingdings" w:hAnsi="Wingdings"/>
      </w:rPr>
    </w:lvl>
    <w:lvl w:ilvl="3" w:tplc="965274C0">
      <w:start w:val="1"/>
      <w:numFmt w:val="bullet"/>
      <w:lvlText w:val=""/>
      <w:lvlJc w:val="left"/>
      <w:pPr>
        <w:tabs>
          <w:tab w:val="num" w:pos="2880"/>
        </w:tabs>
        <w:ind w:left="2880" w:hanging="360"/>
      </w:pPr>
      <w:rPr>
        <w:rFonts w:ascii="Symbol" w:hAnsi="Symbol"/>
      </w:rPr>
    </w:lvl>
    <w:lvl w:ilvl="4" w:tplc="6E32FB66">
      <w:start w:val="1"/>
      <w:numFmt w:val="bullet"/>
      <w:lvlText w:val="o"/>
      <w:lvlJc w:val="left"/>
      <w:pPr>
        <w:tabs>
          <w:tab w:val="num" w:pos="3600"/>
        </w:tabs>
        <w:ind w:left="3600" w:hanging="360"/>
      </w:pPr>
      <w:rPr>
        <w:rFonts w:ascii="Courier New" w:hAnsi="Courier New"/>
      </w:rPr>
    </w:lvl>
    <w:lvl w:ilvl="5" w:tplc="2B54988A">
      <w:start w:val="1"/>
      <w:numFmt w:val="bullet"/>
      <w:lvlText w:val=""/>
      <w:lvlJc w:val="left"/>
      <w:pPr>
        <w:tabs>
          <w:tab w:val="num" w:pos="4320"/>
        </w:tabs>
        <w:ind w:left="4320" w:hanging="360"/>
      </w:pPr>
      <w:rPr>
        <w:rFonts w:ascii="Wingdings" w:hAnsi="Wingdings"/>
      </w:rPr>
    </w:lvl>
    <w:lvl w:ilvl="6" w:tplc="95767258">
      <w:start w:val="1"/>
      <w:numFmt w:val="bullet"/>
      <w:lvlText w:val=""/>
      <w:lvlJc w:val="left"/>
      <w:pPr>
        <w:tabs>
          <w:tab w:val="num" w:pos="5040"/>
        </w:tabs>
        <w:ind w:left="5040" w:hanging="360"/>
      </w:pPr>
      <w:rPr>
        <w:rFonts w:ascii="Symbol" w:hAnsi="Symbol"/>
      </w:rPr>
    </w:lvl>
    <w:lvl w:ilvl="7" w:tplc="F8C41BCC">
      <w:start w:val="1"/>
      <w:numFmt w:val="bullet"/>
      <w:lvlText w:val="o"/>
      <w:lvlJc w:val="left"/>
      <w:pPr>
        <w:tabs>
          <w:tab w:val="num" w:pos="5760"/>
        </w:tabs>
        <w:ind w:left="5760" w:hanging="360"/>
      </w:pPr>
      <w:rPr>
        <w:rFonts w:ascii="Courier New" w:hAnsi="Courier New"/>
      </w:rPr>
    </w:lvl>
    <w:lvl w:ilvl="8" w:tplc="D4041FC6">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60C4C90C">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50CAC682">
      <w:start w:val="1"/>
      <w:numFmt w:val="bullet"/>
      <w:lvlText w:val="o"/>
      <w:lvlJc w:val="left"/>
      <w:pPr>
        <w:tabs>
          <w:tab w:val="num" w:pos="1440"/>
        </w:tabs>
        <w:ind w:left="1440" w:hanging="360"/>
      </w:pPr>
      <w:rPr>
        <w:rFonts w:ascii="Courier New" w:hAnsi="Courier New"/>
      </w:rPr>
    </w:lvl>
    <w:lvl w:ilvl="2" w:tplc="0FF2218E">
      <w:start w:val="1"/>
      <w:numFmt w:val="bullet"/>
      <w:lvlText w:val=""/>
      <w:lvlJc w:val="left"/>
      <w:pPr>
        <w:tabs>
          <w:tab w:val="num" w:pos="2160"/>
        </w:tabs>
        <w:ind w:left="2160" w:hanging="360"/>
      </w:pPr>
      <w:rPr>
        <w:rFonts w:ascii="Wingdings" w:hAnsi="Wingdings"/>
      </w:rPr>
    </w:lvl>
    <w:lvl w:ilvl="3" w:tplc="94447522">
      <w:start w:val="1"/>
      <w:numFmt w:val="bullet"/>
      <w:lvlText w:val=""/>
      <w:lvlJc w:val="left"/>
      <w:pPr>
        <w:tabs>
          <w:tab w:val="num" w:pos="2880"/>
        </w:tabs>
        <w:ind w:left="2880" w:hanging="360"/>
      </w:pPr>
      <w:rPr>
        <w:rFonts w:ascii="Symbol" w:hAnsi="Symbol"/>
      </w:rPr>
    </w:lvl>
    <w:lvl w:ilvl="4" w:tplc="150A9DEC">
      <w:start w:val="1"/>
      <w:numFmt w:val="bullet"/>
      <w:lvlText w:val="o"/>
      <w:lvlJc w:val="left"/>
      <w:pPr>
        <w:tabs>
          <w:tab w:val="num" w:pos="3600"/>
        </w:tabs>
        <w:ind w:left="3600" w:hanging="360"/>
      </w:pPr>
      <w:rPr>
        <w:rFonts w:ascii="Courier New" w:hAnsi="Courier New"/>
      </w:rPr>
    </w:lvl>
    <w:lvl w:ilvl="5" w:tplc="F898644A">
      <w:start w:val="1"/>
      <w:numFmt w:val="bullet"/>
      <w:lvlText w:val=""/>
      <w:lvlJc w:val="left"/>
      <w:pPr>
        <w:tabs>
          <w:tab w:val="num" w:pos="4320"/>
        </w:tabs>
        <w:ind w:left="4320" w:hanging="360"/>
      </w:pPr>
      <w:rPr>
        <w:rFonts w:ascii="Wingdings" w:hAnsi="Wingdings"/>
      </w:rPr>
    </w:lvl>
    <w:lvl w:ilvl="6" w:tplc="BF64E764">
      <w:start w:val="1"/>
      <w:numFmt w:val="bullet"/>
      <w:lvlText w:val=""/>
      <w:lvlJc w:val="left"/>
      <w:pPr>
        <w:tabs>
          <w:tab w:val="num" w:pos="5040"/>
        </w:tabs>
        <w:ind w:left="5040" w:hanging="360"/>
      </w:pPr>
      <w:rPr>
        <w:rFonts w:ascii="Symbol" w:hAnsi="Symbol"/>
      </w:rPr>
    </w:lvl>
    <w:lvl w:ilvl="7" w:tplc="792030E4">
      <w:start w:val="1"/>
      <w:numFmt w:val="bullet"/>
      <w:lvlText w:val="o"/>
      <w:lvlJc w:val="left"/>
      <w:pPr>
        <w:tabs>
          <w:tab w:val="num" w:pos="5760"/>
        </w:tabs>
        <w:ind w:left="5760" w:hanging="360"/>
      </w:pPr>
      <w:rPr>
        <w:rFonts w:ascii="Courier New" w:hAnsi="Courier New"/>
      </w:rPr>
    </w:lvl>
    <w:lvl w:ilvl="8" w:tplc="214CE4F0">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86981CF0">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654A6318">
      <w:start w:val="1"/>
      <w:numFmt w:val="bullet"/>
      <w:lvlText w:val="o"/>
      <w:lvlJc w:val="left"/>
      <w:pPr>
        <w:tabs>
          <w:tab w:val="num" w:pos="1440"/>
        </w:tabs>
        <w:ind w:left="1440" w:hanging="360"/>
      </w:pPr>
      <w:rPr>
        <w:rFonts w:ascii="Courier New" w:hAnsi="Courier New"/>
      </w:rPr>
    </w:lvl>
    <w:lvl w:ilvl="2" w:tplc="E910CFE0">
      <w:start w:val="1"/>
      <w:numFmt w:val="bullet"/>
      <w:lvlText w:val=""/>
      <w:lvlJc w:val="left"/>
      <w:pPr>
        <w:tabs>
          <w:tab w:val="num" w:pos="2160"/>
        </w:tabs>
        <w:ind w:left="2160" w:hanging="360"/>
      </w:pPr>
      <w:rPr>
        <w:rFonts w:ascii="Wingdings" w:hAnsi="Wingdings"/>
      </w:rPr>
    </w:lvl>
    <w:lvl w:ilvl="3" w:tplc="6854D05E">
      <w:start w:val="1"/>
      <w:numFmt w:val="bullet"/>
      <w:lvlText w:val=""/>
      <w:lvlJc w:val="left"/>
      <w:pPr>
        <w:tabs>
          <w:tab w:val="num" w:pos="2880"/>
        </w:tabs>
        <w:ind w:left="2880" w:hanging="360"/>
      </w:pPr>
      <w:rPr>
        <w:rFonts w:ascii="Symbol" w:hAnsi="Symbol"/>
      </w:rPr>
    </w:lvl>
    <w:lvl w:ilvl="4" w:tplc="530C5B92">
      <w:start w:val="1"/>
      <w:numFmt w:val="bullet"/>
      <w:lvlText w:val="o"/>
      <w:lvlJc w:val="left"/>
      <w:pPr>
        <w:tabs>
          <w:tab w:val="num" w:pos="3600"/>
        </w:tabs>
        <w:ind w:left="3600" w:hanging="360"/>
      </w:pPr>
      <w:rPr>
        <w:rFonts w:ascii="Courier New" w:hAnsi="Courier New"/>
      </w:rPr>
    </w:lvl>
    <w:lvl w:ilvl="5" w:tplc="8618B9D4">
      <w:start w:val="1"/>
      <w:numFmt w:val="bullet"/>
      <w:lvlText w:val=""/>
      <w:lvlJc w:val="left"/>
      <w:pPr>
        <w:tabs>
          <w:tab w:val="num" w:pos="4320"/>
        </w:tabs>
        <w:ind w:left="4320" w:hanging="360"/>
      </w:pPr>
      <w:rPr>
        <w:rFonts w:ascii="Wingdings" w:hAnsi="Wingdings"/>
      </w:rPr>
    </w:lvl>
    <w:lvl w:ilvl="6" w:tplc="A83EE79A">
      <w:start w:val="1"/>
      <w:numFmt w:val="bullet"/>
      <w:lvlText w:val=""/>
      <w:lvlJc w:val="left"/>
      <w:pPr>
        <w:tabs>
          <w:tab w:val="num" w:pos="5040"/>
        </w:tabs>
        <w:ind w:left="5040" w:hanging="360"/>
      </w:pPr>
      <w:rPr>
        <w:rFonts w:ascii="Symbol" w:hAnsi="Symbol"/>
      </w:rPr>
    </w:lvl>
    <w:lvl w:ilvl="7" w:tplc="9A7CF90C">
      <w:start w:val="1"/>
      <w:numFmt w:val="bullet"/>
      <w:lvlText w:val="o"/>
      <w:lvlJc w:val="left"/>
      <w:pPr>
        <w:tabs>
          <w:tab w:val="num" w:pos="5760"/>
        </w:tabs>
        <w:ind w:left="5760" w:hanging="360"/>
      </w:pPr>
      <w:rPr>
        <w:rFonts w:ascii="Courier New" w:hAnsi="Courier New"/>
      </w:rPr>
    </w:lvl>
    <w:lvl w:ilvl="8" w:tplc="E61E8962">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B50E7312">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E4622376">
      <w:start w:val="1"/>
      <w:numFmt w:val="bullet"/>
      <w:lvlText w:val="o"/>
      <w:lvlJc w:val="left"/>
      <w:pPr>
        <w:tabs>
          <w:tab w:val="num" w:pos="1440"/>
        </w:tabs>
        <w:ind w:left="1440" w:hanging="360"/>
      </w:pPr>
      <w:rPr>
        <w:rFonts w:ascii="Courier New" w:hAnsi="Courier New"/>
      </w:rPr>
    </w:lvl>
    <w:lvl w:ilvl="2" w:tplc="EBB2C00E">
      <w:start w:val="1"/>
      <w:numFmt w:val="bullet"/>
      <w:lvlText w:val=""/>
      <w:lvlJc w:val="left"/>
      <w:pPr>
        <w:tabs>
          <w:tab w:val="num" w:pos="2160"/>
        </w:tabs>
        <w:ind w:left="2160" w:hanging="360"/>
      </w:pPr>
      <w:rPr>
        <w:rFonts w:ascii="Wingdings" w:hAnsi="Wingdings"/>
      </w:rPr>
    </w:lvl>
    <w:lvl w:ilvl="3" w:tplc="81763178">
      <w:start w:val="1"/>
      <w:numFmt w:val="bullet"/>
      <w:lvlText w:val=""/>
      <w:lvlJc w:val="left"/>
      <w:pPr>
        <w:tabs>
          <w:tab w:val="num" w:pos="2880"/>
        </w:tabs>
        <w:ind w:left="2880" w:hanging="360"/>
      </w:pPr>
      <w:rPr>
        <w:rFonts w:ascii="Symbol" w:hAnsi="Symbol"/>
      </w:rPr>
    </w:lvl>
    <w:lvl w:ilvl="4" w:tplc="4930454A">
      <w:start w:val="1"/>
      <w:numFmt w:val="bullet"/>
      <w:lvlText w:val="o"/>
      <w:lvlJc w:val="left"/>
      <w:pPr>
        <w:tabs>
          <w:tab w:val="num" w:pos="3600"/>
        </w:tabs>
        <w:ind w:left="3600" w:hanging="360"/>
      </w:pPr>
      <w:rPr>
        <w:rFonts w:ascii="Courier New" w:hAnsi="Courier New"/>
      </w:rPr>
    </w:lvl>
    <w:lvl w:ilvl="5" w:tplc="AAC6ED2E">
      <w:start w:val="1"/>
      <w:numFmt w:val="bullet"/>
      <w:lvlText w:val=""/>
      <w:lvlJc w:val="left"/>
      <w:pPr>
        <w:tabs>
          <w:tab w:val="num" w:pos="4320"/>
        </w:tabs>
        <w:ind w:left="4320" w:hanging="360"/>
      </w:pPr>
      <w:rPr>
        <w:rFonts w:ascii="Wingdings" w:hAnsi="Wingdings"/>
      </w:rPr>
    </w:lvl>
    <w:lvl w:ilvl="6" w:tplc="B31A8C6E">
      <w:start w:val="1"/>
      <w:numFmt w:val="bullet"/>
      <w:lvlText w:val=""/>
      <w:lvlJc w:val="left"/>
      <w:pPr>
        <w:tabs>
          <w:tab w:val="num" w:pos="5040"/>
        </w:tabs>
        <w:ind w:left="5040" w:hanging="360"/>
      </w:pPr>
      <w:rPr>
        <w:rFonts w:ascii="Symbol" w:hAnsi="Symbol"/>
      </w:rPr>
    </w:lvl>
    <w:lvl w:ilvl="7" w:tplc="CE762E02">
      <w:start w:val="1"/>
      <w:numFmt w:val="bullet"/>
      <w:lvlText w:val="o"/>
      <w:lvlJc w:val="left"/>
      <w:pPr>
        <w:tabs>
          <w:tab w:val="num" w:pos="5760"/>
        </w:tabs>
        <w:ind w:left="5760" w:hanging="360"/>
      </w:pPr>
      <w:rPr>
        <w:rFonts w:ascii="Courier New" w:hAnsi="Courier New"/>
      </w:rPr>
    </w:lvl>
    <w:lvl w:ilvl="8" w:tplc="871E1222">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EB3262D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CBD42162">
      <w:start w:val="1"/>
      <w:numFmt w:val="bullet"/>
      <w:lvlText w:val="o"/>
      <w:lvlJc w:val="left"/>
      <w:pPr>
        <w:tabs>
          <w:tab w:val="num" w:pos="1440"/>
        </w:tabs>
        <w:ind w:left="1440" w:hanging="360"/>
      </w:pPr>
      <w:rPr>
        <w:rFonts w:ascii="Courier New" w:hAnsi="Courier New"/>
      </w:rPr>
    </w:lvl>
    <w:lvl w:ilvl="2" w:tplc="EDCA1D36">
      <w:start w:val="1"/>
      <w:numFmt w:val="bullet"/>
      <w:lvlText w:val=""/>
      <w:lvlJc w:val="left"/>
      <w:pPr>
        <w:tabs>
          <w:tab w:val="num" w:pos="2160"/>
        </w:tabs>
        <w:ind w:left="2160" w:hanging="360"/>
      </w:pPr>
      <w:rPr>
        <w:rFonts w:ascii="Wingdings" w:hAnsi="Wingdings"/>
      </w:rPr>
    </w:lvl>
    <w:lvl w:ilvl="3" w:tplc="2B16434E">
      <w:start w:val="1"/>
      <w:numFmt w:val="bullet"/>
      <w:lvlText w:val=""/>
      <w:lvlJc w:val="left"/>
      <w:pPr>
        <w:tabs>
          <w:tab w:val="num" w:pos="2880"/>
        </w:tabs>
        <w:ind w:left="2880" w:hanging="360"/>
      </w:pPr>
      <w:rPr>
        <w:rFonts w:ascii="Symbol" w:hAnsi="Symbol"/>
      </w:rPr>
    </w:lvl>
    <w:lvl w:ilvl="4" w:tplc="55F891EE">
      <w:start w:val="1"/>
      <w:numFmt w:val="bullet"/>
      <w:lvlText w:val="o"/>
      <w:lvlJc w:val="left"/>
      <w:pPr>
        <w:tabs>
          <w:tab w:val="num" w:pos="3600"/>
        </w:tabs>
        <w:ind w:left="3600" w:hanging="360"/>
      </w:pPr>
      <w:rPr>
        <w:rFonts w:ascii="Courier New" w:hAnsi="Courier New"/>
      </w:rPr>
    </w:lvl>
    <w:lvl w:ilvl="5" w:tplc="FA984A06">
      <w:start w:val="1"/>
      <w:numFmt w:val="bullet"/>
      <w:lvlText w:val=""/>
      <w:lvlJc w:val="left"/>
      <w:pPr>
        <w:tabs>
          <w:tab w:val="num" w:pos="4320"/>
        </w:tabs>
        <w:ind w:left="4320" w:hanging="360"/>
      </w:pPr>
      <w:rPr>
        <w:rFonts w:ascii="Wingdings" w:hAnsi="Wingdings"/>
      </w:rPr>
    </w:lvl>
    <w:lvl w:ilvl="6" w:tplc="4068207A">
      <w:start w:val="1"/>
      <w:numFmt w:val="bullet"/>
      <w:lvlText w:val=""/>
      <w:lvlJc w:val="left"/>
      <w:pPr>
        <w:tabs>
          <w:tab w:val="num" w:pos="5040"/>
        </w:tabs>
        <w:ind w:left="5040" w:hanging="360"/>
      </w:pPr>
      <w:rPr>
        <w:rFonts w:ascii="Symbol" w:hAnsi="Symbol"/>
      </w:rPr>
    </w:lvl>
    <w:lvl w:ilvl="7" w:tplc="5DBA0BF2">
      <w:start w:val="1"/>
      <w:numFmt w:val="bullet"/>
      <w:lvlText w:val="o"/>
      <w:lvlJc w:val="left"/>
      <w:pPr>
        <w:tabs>
          <w:tab w:val="num" w:pos="5760"/>
        </w:tabs>
        <w:ind w:left="5760" w:hanging="360"/>
      </w:pPr>
      <w:rPr>
        <w:rFonts w:ascii="Courier New" w:hAnsi="Courier New"/>
      </w:rPr>
    </w:lvl>
    <w:lvl w:ilvl="8" w:tplc="810405EE">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A530D040">
      <w:start w:val="1"/>
      <w:numFmt w:val="bullet"/>
      <w:lvlText w:val=""/>
      <w:lvlJc w:val="left"/>
      <w:pPr>
        <w:tabs>
          <w:tab w:val="num" w:pos="720"/>
        </w:tabs>
        <w:ind w:left="720" w:hanging="360"/>
      </w:pPr>
      <w:rPr>
        <w:rFonts w:ascii="Symbol" w:hAnsi="Symbol"/>
      </w:rPr>
    </w:lvl>
    <w:lvl w:ilvl="1" w:tplc="D17AE430">
      <w:start w:val="1"/>
      <w:numFmt w:val="bullet"/>
      <w:lvlText w:val="▪"/>
      <w:lvlJc w:val="left"/>
      <w:pPr>
        <w:tabs>
          <w:tab w:val="num" w:pos="1440"/>
        </w:tabs>
        <w:ind w:left="1440" w:hanging="360"/>
      </w:pPr>
      <w:rPr>
        <w:rFonts w:ascii="Arial" w:eastAsia="Arial" w:hAnsi="Arial" w:cs="Arial"/>
        <w:b w:val="0"/>
        <w:i w:val="0"/>
        <w:strike w:val="0"/>
        <w:sz w:val="24"/>
      </w:rPr>
    </w:lvl>
    <w:lvl w:ilvl="2" w:tplc="A1522DCE">
      <w:start w:val="1"/>
      <w:numFmt w:val="bullet"/>
      <w:lvlText w:val=""/>
      <w:lvlJc w:val="left"/>
      <w:pPr>
        <w:tabs>
          <w:tab w:val="num" w:pos="2160"/>
        </w:tabs>
        <w:ind w:left="2160" w:hanging="360"/>
      </w:pPr>
      <w:rPr>
        <w:rFonts w:ascii="Wingdings" w:hAnsi="Wingdings"/>
      </w:rPr>
    </w:lvl>
    <w:lvl w:ilvl="3" w:tplc="9D881A24">
      <w:start w:val="1"/>
      <w:numFmt w:val="bullet"/>
      <w:lvlText w:val=""/>
      <w:lvlJc w:val="left"/>
      <w:pPr>
        <w:tabs>
          <w:tab w:val="num" w:pos="2880"/>
        </w:tabs>
        <w:ind w:left="2880" w:hanging="360"/>
      </w:pPr>
      <w:rPr>
        <w:rFonts w:ascii="Symbol" w:hAnsi="Symbol"/>
      </w:rPr>
    </w:lvl>
    <w:lvl w:ilvl="4" w:tplc="1F74FC46">
      <w:start w:val="1"/>
      <w:numFmt w:val="bullet"/>
      <w:lvlText w:val="o"/>
      <w:lvlJc w:val="left"/>
      <w:pPr>
        <w:tabs>
          <w:tab w:val="num" w:pos="3600"/>
        </w:tabs>
        <w:ind w:left="3600" w:hanging="360"/>
      </w:pPr>
      <w:rPr>
        <w:rFonts w:ascii="Courier New" w:hAnsi="Courier New"/>
      </w:rPr>
    </w:lvl>
    <w:lvl w:ilvl="5" w:tplc="BD783C3E">
      <w:start w:val="1"/>
      <w:numFmt w:val="bullet"/>
      <w:lvlText w:val=""/>
      <w:lvlJc w:val="left"/>
      <w:pPr>
        <w:tabs>
          <w:tab w:val="num" w:pos="4320"/>
        </w:tabs>
        <w:ind w:left="4320" w:hanging="360"/>
      </w:pPr>
      <w:rPr>
        <w:rFonts w:ascii="Wingdings" w:hAnsi="Wingdings"/>
      </w:rPr>
    </w:lvl>
    <w:lvl w:ilvl="6" w:tplc="994EAA42">
      <w:start w:val="1"/>
      <w:numFmt w:val="bullet"/>
      <w:lvlText w:val=""/>
      <w:lvlJc w:val="left"/>
      <w:pPr>
        <w:tabs>
          <w:tab w:val="num" w:pos="5040"/>
        </w:tabs>
        <w:ind w:left="5040" w:hanging="360"/>
      </w:pPr>
      <w:rPr>
        <w:rFonts w:ascii="Symbol" w:hAnsi="Symbol"/>
      </w:rPr>
    </w:lvl>
    <w:lvl w:ilvl="7" w:tplc="2BE8A6F8">
      <w:start w:val="1"/>
      <w:numFmt w:val="bullet"/>
      <w:lvlText w:val="o"/>
      <w:lvlJc w:val="left"/>
      <w:pPr>
        <w:tabs>
          <w:tab w:val="num" w:pos="5760"/>
        </w:tabs>
        <w:ind w:left="5760" w:hanging="360"/>
      </w:pPr>
      <w:rPr>
        <w:rFonts w:ascii="Courier New" w:hAnsi="Courier New"/>
      </w:rPr>
    </w:lvl>
    <w:lvl w:ilvl="8" w:tplc="F7FE705E">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668C9CDA">
      <w:start w:val="1"/>
      <w:numFmt w:val="bullet"/>
      <w:lvlText w:val=""/>
      <w:lvlJc w:val="left"/>
      <w:pPr>
        <w:tabs>
          <w:tab w:val="num" w:pos="720"/>
        </w:tabs>
        <w:ind w:left="720" w:hanging="360"/>
      </w:pPr>
      <w:rPr>
        <w:rFonts w:ascii="Symbol" w:hAnsi="Symbol"/>
      </w:rPr>
    </w:lvl>
    <w:lvl w:ilvl="1" w:tplc="CB7CF98C">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F7344776">
      <w:start w:val="1"/>
      <w:numFmt w:val="bullet"/>
      <w:lvlText w:val=""/>
      <w:lvlJc w:val="left"/>
      <w:pPr>
        <w:tabs>
          <w:tab w:val="num" w:pos="2160"/>
        </w:tabs>
        <w:ind w:left="2160" w:hanging="360"/>
      </w:pPr>
      <w:rPr>
        <w:rFonts w:ascii="Wingdings" w:hAnsi="Wingdings"/>
      </w:rPr>
    </w:lvl>
    <w:lvl w:ilvl="3" w:tplc="D474282A">
      <w:start w:val="1"/>
      <w:numFmt w:val="bullet"/>
      <w:lvlText w:val=""/>
      <w:lvlJc w:val="left"/>
      <w:pPr>
        <w:tabs>
          <w:tab w:val="num" w:pos="2880"/>
        </w:tabs>
        <w:ind w:left="2880" w:hanging="360"/>
      </w:pPr>
      <w:rPr>
        <w:rFonts w:ascii="Symbol" w:hAnsi="Symbol"/>
      </w:rPr>
    </w:lvl>
    <w:lvl w:ilvl="4" w:tplc="5B38E85E">
      <w:start w:val="1"/>
      <w:numFmt w:val="bullet"/>
      <w:lvlText w:val="o"/>
      <w:lvlJc w:val="left"/>
      <w:pPr>
        <w:tabs>
          <w:tab w:val="num" w:pos="3600"/>
        </w:tabs>
        <w:ind w:left="3600" w:hanging="360"/>
      </w:pPr>
      <w:rPr>
        <w:rFonts w:ascii="Courier New" w:hAnsi="Courier New"/>
      </w:rPr>
    </w:lvl>
    <w:lvl w:ilvl="5" w:tplc="DE8AE27A">
      <w:start w:val="1"/>
      <w:numFmt w:val="bullet"/>
      <w:lvlText w:val=""/>
      <w:lvlJc w:val="left"/>
      <w:pPr>
        <w:tabs>
          <w:tab w:val="num" w:pos="4320"/>
        </w:tabs>
        <w:ind w:left="4320" w:hanging="360"/>
      </w:pPr>
      <w:rPr>
        <w:rFonts w:ascii="Wingdings" w:hAnsi="Wingdings"/>
      </w:rPr>
    </w:lvl>
    <w:lvl w:ilvl="6" w:tplc="162032FE">
      <w:start w:val="1"/>
      <w:numFmt w:val="bullet"/>
      <w:lvlText w:val=""/>
      <w:lvlJc w:val="left"/>
      <w:pPr>
        <w:tabs>
          <w:tab w:val="num" w:pos="5040"/>
        </w:tabs>
        <w:ind w:left="5040" w:hanging="360"/>
      </w:pPr>
      <w:rPr>
        <w:rFonts w:ascii="Symbol" w:hAnsi="Symbol"/>
      </w:rPr>
    </w:lvl>
    <w:lvl w:ilvl="7" w:tplc="A5B48E56">
      <w:start w:val="1"/>
      <w:numFmt w:val="bullet"/>
      <w:lvlText w:val="o"/>
      <w:lvlJc w:val="left"/>
      <w:pPr>
        <w:tabs>
          <w:tab w:val="num" w:pos="5760"/>
        </w:tabs>
        <w:ind w:left="5760" w:hanging="360"/>
      </w:pPr>
      <w:rPr>
        <w:rFonts w:ascii="Courier New" w:hAnsi="Courier New"/>
      </w:rPr>
    </w:lvl>
    <w:lvl w:ilvl="8" w:tplc="057A96D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6C660D9C">
      <w:start w:val="1"/>
      <w:numFmt w:val="bullet"/>
      <w:lvlText w:val=""/>
      <w:lvlJc w:val="left"/>
      <w:pPr>
        <w:tabs>
          <w:tab w:val="num" w:pos="720"/>
        </w:tabs>
        <w:ind w:left="720" w:hanging="360"/>
      </w:pPr>
      <w:rPr>
        <w:rFonts w:ascii="Symbol" w:hAnsi="Symbol"/>
      </w:rPr>
    </w:lvl>
    <w:lvl w:ilvl="1" w:tplc="785CDE1E">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A61CFF7E">
      <w:start w:val="1"/>
      <w:numFmt w:val="bullet"/>
      <w:lvlText w:val=""/>
      <w:lvlJc w:val="left"/>
      <w:pPr>
        <w:tabs>
          <w:tab w:val="num" w:pos="2160"/>
        </w:tabs>
        <w:ind w:left="2160" w:hanging="360"/>
      </w:pPr>
      <w:rPr>
        <w:rFonts w:ascii="Wingdings" w:hAnsi="Wingdings"/>
      </w:rPr>
    </w:lvl>
    <w:lvl w:ilvl="3" w:tplc="2DB85B94">
      <w:start w:val="1"/>
      <w:numFmt w:val="bullet"/>
      <w:lvlText w:val=""/>
      <w:lvlJc w:val="left"/>
      <w:pPr>
        <w:tabs>
          <w:tab w:val="num" w:pos="2880"/>
        </w:tabs>
        <w:ind w:left="2880" w:hanging="360"/>
      </w:pPr>
      <w:rPr>
        <w:rFonts w:ascii="Symbol" w:hAnsi="Symbol"/>
      </w:rPr>
    </w:lvl>
    <w:lvl w:ilvl="4" w:tplc="9DD6C248">
      <w:start w:val="1"/>
      <w:numFmt w:val="bullet"/>
      <w:lvlText w:val="o"/>
      <w:lvlJc w:val="left"/>
      <w:pPr>
        <w:tabs>
          <w:tab w:val="num" w:pos="3600"/>
        </w:tabs>
        <w:ind w:left="3600" w:hanging="360"/>
      </w:pPr>
      <w:rPr>
        <w:rFonts w:ascii="Courier New" w:hAnsi="Courier New"/>
      </w:rPr>
    </w:lvl>
    <w:lvl w:ilvl="5" w:tplc="D736CDF6">
      <w:start w:val="1"/>
      <w:numFmt w:val="bullet"/>
      <w:lvlText w:val=""/>
      <w:lvlJc w:val="left"/>
      <w:pPr>
        <w:tabs>
          <w:tab w:val="num" w:pos="4320"/>
        </w:tabs>
        <w:ind w:left="4320" w:hanging="360"/>
      </w:pPr>
      <w:rPr>
        <w:rFonts w:ascii="Wingdings" w:hAnsi="Wingdings"/>
      </w:rPr>
    </w:lvl>
    <w:lvl w:ilvl="6" w:tplc="F1944A42">
      <w:start w:val="1"/>
      <w:numFmt w:val="bullet"/>
      <w:lvlText w:val=""/>
      <w:lvlJc w:val="left"/>
      <w:pPr>
        <w:tabs>
          <w:tab w:val="num" w:pos="5040"/>
        </w:tabs>
        <w:ind w:left="5040" w:hanging="360"/>
      </w:pPr>
      <w:rPr>
        <w:rFonts w:ascii="Symbol" w:hAnsi="Symbol"/>
      </w:rPr>
    </w:lvl>
    <w:lvl w:ilvl="7" w:tplc="5D8C303A">
      <w:start w:val="1"/>
      <w:numFmt w:val="bullet"/>
      <w:lvlText w:val="o"/>
      <w:lvlJc w:val="left"/>
      <w:pPr>
        <w:tabs>
          <w:tab w:val="num" w:pos="5760"/>
        </w:tabs>
        <w:ind w:left="5760" w:hanging="360"/>
      </w:pPr>
      <w:rPr>
        <w:rFonts w:ascii="Courier New" w:hAnsi="Courier New"/>
      </w:rPr>
    </w:lvl>
    <w:lvl w:ilvl="8" w:tplc="9A42562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A2DA09D4">
      <w:start w:val="1"/>
      <w:numFmt w:val="bullet"/>
      <w:lvlText w:val=""/>
      <w:lvlJc w:val="left"/>
      <w:pPr>
        <w:tabs>
          <w:tab w:val="num" w:pos="720"/>
        </w:tabs>
        <w:ind w:left="720" w:hanging="360"/>
      </w:pPr>
      <w:rPr>
        <w:rFonts w:ascii="Symbol" w:hAnsi="Symbol"/>
      </w:rPr>
    </w:lvl>
    <w:lvl w:ilvl="1" w:tplc="4DA66DA6">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EE38A1B0">
      <w:start w:val="1"/>
      <w:numFmt w:val="bullet"/>
      <w:lvlText w:val=""/>
      <w:lvlJc w:val="left"/>
      <w:pPr>
        <w:tabs>
          <w:tab w:val="num" w:pos="2160"/>
        </w:tabs>
        <w:ind w:left="2160" w:hanging="360"/>
      </w:pPr>
      <w:rPr>
        <w:rFonts w:ascii="Wingdings" w:hAnsi="Wingdings"/>
      </w:rPr>
    </w:lvl>
    <w:lvl w:ilvl="3" w:tplc="53B85404">
      <w:start w:val="1"/>
      <w:numFmt w:val="bullet"/>
      <w:lvlText w:val=""/>
      <w:lvlJc w:val="left"/>
      <w:pPr>
        <w:tabs>
          <w:tab w:val="num" w:pos="2880"/>
        </w:tabs>
        <w:ind w:left="2880" w:hanging="360"/>
      </w:pPr>
      <w:rPr>
        <w:rFonts w:ascii="Symbol" w:hAnsi="Symbol"/>
      </w:rPr>
    </w:lvl>
    <w:lvl w:ilvl="4" w:tplc="947C0278">
      <w:start w:val="1"/>
      <w:numFmt w:val="bullet"/>
      <w:lvlText w:val="o"/>
      <w:lvlJc w:val="left"/>
      <w:pPr>
        <w:tabs>
          <w:tab w:val="num" w:pos="3600"/>
        </w:tabs>
        <w:ind w:left="3600" w:hanging="360"/>
      </w:pPr>
      <w:rPr>
        <w:rFonts w:ascii="Courier New" w:hAnsi="Courier New"/>
      </w:rPr>
    </w:lvl>
    <w:lvl w:ilvl="5" w:tplc="ED58F4BC">
      <w:start w:val="1"/>
      <w:numFmt w:val="bullet"/>
      <w:lvlText w:val=""/>
      <w:lvlJc w:val="left"/>
      <w:pPr>
        <w:tabs>
          <w:tab w:val="num" w:pos="4320"/>
        </w:tabs>
        <w:ind w:left="4320" w:hanging="360"/>
      </w:pPr>
      <w:rPr>
        <w:rFonts w:ascii="Wingdings" w:hAnsi="Wingdings"/>
      </w:rPr>
    </w:lvl>
    <w:lvl w:ilvl="6" w:tplc="68A8933C">
      <w:start w:val="1"/>
      <w:numFmt w:val="bullet"/>
      <w:lvlText w:val=""/>
      <w:lvlJc w:val="left"/>
      <w:pPr>
        <w:tabs>
          <w:tab w:val="num" w:pos="5040"/>
        </w:tabs>
        <w:ind w:left="5040" w:hanging="360"/>
      </w:pPr>
      <w:rPr>
        <w:rFonts w:ascii="Symbol" w:hAnsi="Symbol"/>
      </w:rPr>
    </w:lvl>
    <w:lvl w:ilvl="7" w:tplc="08760752">
      <w:start w:val="1"/>
      <w:numFmt w:val="bullet"/>
      <w:lvlText w:val="o"/>
      <w:lvlJc w:val="left"/>
      <w:pPr>
        <w:tabs>
          <w:tab w:val="num" w:pos="5760"/>
        </w:tabs>
        <w:ind w:left="5760" w:hanging="360"/>
      </w:pPr>
      <w:rPr>
        <w:rFonts w:ascii="Courier New" w:hAnsi="Courier New"/>
      </w:rPr>
    </w:lvl>
    <w:lvl w:ilvl="8" w:tplc="1006026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6E427188">
      <w:start w:val="1"/>
      <w:numFmt w:val="bullet"/>
      <w:lvlText w:val=""/>
      <w:lvlJc w:val="left"/>
      <w:pPr>
        <w:tabs>
          <w:tab w:val="num" w:pos="720"/>
        </w:tabs>
        <w:ind w:left="720" w:hanging="360"/>
      </w:pPr>
      <w:rPr>
        <w:rFonts w:ascii="Symbol" w:hAnsi="Symbol"/>
      </w:rPr>
    </w:lvl>
    <w:lvl w:ilvl="1" w:tplc="FBEC1F56">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B24A5866">
      <w:start w:val="1"/>
      <w:numFmt w:val="bullet"/>
      <w:lvlText w:val=""/>
      <w:lvlJc w:val="left"/>
      <w:pPr>
        <w:tabs>
          <w:tab w:val="num" w:pos="2160"/>
        </w:tabs>
        <w:ind w:left="2160" w:hanging="360"/>
      </w:pPr>
      <w:rPr>
        <w:rFonts w:ascii="Wingdings" w:hAnsi="Wingdings"/>
      </w:rPr>
    </w:lvl>
    <w:lvl w:ilvl="3" w:tplc="D6D077EA">
      <w:start w:val="1"/>
      <w:numFmt w:val="bullet"/>
      <w:lvlText w:val=""/>
      <w:lvlJc w:val="left"/>
      <w:pPr>
        <w:tabs>
          <w:tab w:val="num" w:pos="2880"/>
        </w:tabs>
        <w:ind w:left="2880" w:hanging="360"/>
      </w:pPr>
      <w:rPr>
        <w:rFonts w:ascii="Symbol" w:hAnsi="Symbol"/>
      </w:rPr>
    </w:lvl>
    <w:lvl w:ilvl="4" w:tplc="BEC896F0">
      <w:start w:val="1"/>
      <w:numFmt w:val="bullet"/>
      <w:lvlText w:val="o"/>
      <w:lvlJc w:val="left"/>
      <w:pPr>
        <w:tabs>
          <w:tab w:val="num" w:pos="3600"/>
        </w:tabs>
        <w:ind w:left="3600" w:hanging="360"/>
      </w:pPr>
      <w:rPr>
        <w:rFonts w:ascii="Courier New" w:hAnsi="Courier New"/>
      </w:rPr>
    </w:lvl>
    <w:lvl w:ilvl="5" w:tplc="10E8E6AA">
      <w:start w:val="1"/>
      <w:numFmt w:val="bullet"/>
      <w:lvlText w:val=""/>
      <w:lvlJc w:val="left"/>
      <w:pPr>
        <w:tabs>
          <w:tab w:val="num" w:pos="4320"/>
        </w:tabs>
        <w:ind w:left="4320" w:hanging="360"/>
      </w:pPr>
      <w:rPr>
        <w:rFonts w:ascii="Wingdings" w:hAnsi="Wingdings"/>
      </w:rPr>
    </w:lvl>
    <w:lvl w:ilvl="6" w:tplc="C0B2EAFE">
      <w:start w:val="1"/>
      <w:numFmt w:val="bullet"/>
      <w:lvlText w:val=""/>
      <w:lvlJc w:val="left"/>
      <w:pPr>
        <w:tabs>
          <w:tab w:val="num" w:pos="5040"/>
        </w:tabs>
        <w:ind w:left="5040" w:hanging="360"/>
      </w:pPr>
      <w:rPr>
        <w:rFonts w:ascii="Symbol" w:hAnsi="Symbol"/>
      </w:rPr>
    </w:lvl>
    <w:lvl w:ilvl="7" w:tplc="A7DC56B0">
      <w:start w:val="1"/>
      <w:numFmt w:val="bullet"/>
      <w:lvlText w:val="o"/>
      <w:lvlJc w:val="left"/>
      <w:pPr>
        <w:tabs>
          <w:tab w:val="num" w:pos="5760"/>
        </w:tabs>
        <w:ind w:left="5760" w:hanging="360"/>
      </w:pPr>
      <w:rPr>
        <w:rFonts w:ascii="Courier New" w:hAnsi="Courier New"/>
      </w:rPr>
    </w:lvl>
    <w:lvl w:ilvl="8" w:tplc="3786583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3976DF18">
      <w:start w:val="1"/>
      <w:numFmt w:val="bullet"/>
      <w:lvlText w:val=""/>
      <w:lvlJc w:val="left"/>
      <w:pPr>
        <w:tabs>
          <w:tab w:val="num" w:pos="720"/>
        </w:tabs>
        <w:ind w:left="720" w:hanging="360"/>
      </w:pPr>
      <w:rPr>
        <w:rFonts w:ascii="Symbol" w:hAnsi="Symbol"/>
      </w:rPr>
    </w:lvl>
    <w:lvl w:ilvl="1" w:tplc="51E2B12E">
      <w:start w:val="1"/>
      <w:numFmt w:val="bullet"/>
      <w:lvlText w:val="▪"/>
      <w:lvlJc w:val="left"/>
      <w:pPr>
        <w:tabs>
          <w:tab w:val="num" w:pos="1440"/>
        </w:tabs>
        <w:ind w:left="1440" w:hanging="360"/>
      </w:pPr>
      <w:rPr>
        <w:rFonts w:ascii="Arial" w:eastAsia="Arial" w:hAnsi="Arial" w:cs="Arial"/>
        <w:b w:val="0"/>
        <w:i w:val="0"/>
        <w:strike w:val="0"/>
        <w:sz w:val="24"/>
      </w:rPr>
    </w:lvl>
    <w:lvl w:ilvl="2" w:tplc="BF909144">
      <w:start w:val="1"/>
      <w:numFmt w:val="bullet"/>
      <w:lvlText w:val=""/>
      <w:lvlJc w:val="left"/>
      <w:pPr>
        <w:tabs>
          <w:tab w:val="num" w:pos="2160"/>
        </w:tabs>
        <w:ind w:left="2160" w:hanging="360"/>
      </w:pPr>
      <w:rPr>
        <w:rFonts w:ascii="Wingdings" w:hAnsi="Wingdings"/>
      </w:rPr>
    </w:lvl>
    <w:lvl w:ilvl="3" w:tplc="42C6F7A6">
      <w:start w:val="1"/>
      <w:numFmt w:val="bullet"/>
      <w:lvlText w:val=""/>
      <w:lvlJc w:val="left"/>
      <w:pPr>
        <w:tabs>
          <w:tab w:val="num" w:pos="2880"/>
        </w:tabs>
        <w:ind w:left="2880" w:hanging="360"/>
      </w:pPr>
      <w:rPr>
        <w:rFonts w:ascii="Symbol" w:hAnsi="Symbol"/>
      </w:rPr>
    </w:lvl>
    <w:lvl w:ilvl="4" w:tplc="527E2070">
      <w:start w:val="1"/>
      <w:numFmt w:val="bullet"/>
      <w:lvlText w:val="o"/>
      <w:lvlJc w:val="left"/>
      <w:pPr>
        <w:tabs>
          <w:tab w:val="num" w:pos="3600"/>
        </w:tabs>
        <w:ind w:left="3600" w:hanging="360"/>
      </w:pPr>
      <w:rPr>
        <w:rFonts w:ascii="Courier New" w:hAnsi="Courier New"/>
      </w:rPr>
    </w:lvl>
    <w:lvl w:ilvl="5" w:tplc="D548DD42">
      <w:start w:val="1"/>
      <w:numFmt w:val="bullet"/>
      <w:lvlText w:val=""/>
      <w:lvlJc w:val="left"/>
      <w:pPr>
        <w:tabs>
          <w:tab w:val="num" w:pos="4320"/>
        </w:tabs>
        <w:ind w:left="4320" w:hanging="360"/>
      </w:pPr>
      <w:rPr>
        <w:rFonts w:ascii="Wingdings" w:hAnsi="Wingdings"/>
      </w:rPr>
    </w:lvl>
    <w:lvl w:ilvl="6" w:tplc="E0328B36">
      <w:start w:val="1"/>
      <w:numFmt w:val="bullet"/>
      <w:lvlText w:val=""/>
      <w:lvlJc w:val="left"/>
      <w:pPr>
        <w:tabs>
          <w:tab w:val="num" w:pos="5040"/>
        </w:tabs>
        <w:ind w:left="5040" w:hanging="360"/>
      </w:pPr>
      <w:rPr>
        <w:rFonts w:ascii="Symbol" w:hAnsi="Symbol"/>
      </w:rPr>
    </w:lvl>
    <w:lvl w:ilvl="7" w:tplc="3F920D62">
      <w:start w:val="1"/>
      <w:numFmt w:val="bullet"/>
      <w:lvlText w:val="o"/>
      <w:lvlJc w:val="left"/>
      <w:pPr>
        <w:tabs>
          <w:tab w:val="num" w:pos="5760"/>
        </w:tabs>
        <w:ind w:left="5760" w:hanging="360"/>
      </w:pPr>
      <w:rPr>
        <w:rFonts w:ascii="Courier New" w:hAnsi="Courier New"/>
      </w:rPr>
    </w:lvl>
    <w:lvl w:ilvl="8" w:tplc="B776D736">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E74E6288">
      <w:start w:val="1"/>
      <w:numFmt w:val="bullet"/>
      <w:lvlText w:val=""/>
      <w:lvlJc w:val="left"/>
      <w:pPr>
        <w:tabs>
          <w:tab w:val="num" w:pos="720"/>
        </w:tabs>
        <w:ind w:left="720" w:hanging="360"/>
      </w:pPr>
      <w:rPr>
        <w:rFonts w:ascii="Symbol" w:hAnsi="Symbol"/>
      </w:rPr>
    </w:lvl>
    <w:lvl w:ilvl="1" w:tplc="85103D5A">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F188B658">
      <w:start w:val="1"/>
      <w:numFmt w:val="bullet"/>
      <w:lvlText w:val=""/>
      <w:lvlJc w:val="left"/>
      <w:pPr>
        <w:tabs>
          <w:tab w:val="num" w:pos="2160"/>
        </w:tabs>
        <w:ind w:left="2160" w:hanging="360"/>
      </w:pPr>
      <w:rPr>
        <w:rFonts w:ascii="Wingdings" w:hAnsi="Wingdings"/>
      </w:rPr>
    </w:lvl>
    <w:lvl w:ilvl="3" w:tplc="ECA4F748">
      <w:start w:val="1"/>
      <w:numFmt w:val="bullet"/>
      <w:lvlText w:val=""/>
      <w:lvlJc w:val="left"/>
      <w:pPr>
        <w:tabs>
          <w:tab w:val="num" w:pos="2880"/>
        </w:tabs>
        <w:ind w:left="2880" w:hanging="360"/>
      </w:pPr>
      <w:rPr>
        <w:rFonts w:ascii="Symbol" w:hAnsi="Symbol"/>
      </w:rPr>
    </w:lvl>
    <w:lvl w:ilvl="4" w:tplc="106AF230">
      <w:start w:val="1"/>
      <w:numFmt w:val="bullet"/>
      <w:lvlText w:val="o"/>
      <w:lvlJc w:val="left"/>
      <w:pPr>
        <w:tabs>
          <w:tab w:val="num" w:pos="3600"/>
        </w:tabs>
        <w:ind w:left="3600" w:hanging="360"/>
      </w:pPr>
      <w:rPr>
        <w:rFonts w:ascii="Courier New" w:hAnsi="Courier New"/>
      </w:rPr>
    </w:lvl>
    <w:lvl w:ilvl="5" w:tplc="A1FCD53A">
      <w:start w:val="1"/>
      <w:numFmt w:val="bullet"/>
      <w:lvlText w:val=""/>
      <w:lvlJc w:val="left"/>
      <w:pPr>
        <w:tabs>
          <w:tab w:val="num" w:pos="4320"/>
        </w:tabs>
        <w:ind w:left="4320" w:hanging="360"/>
      </w:pPr>
      <w:rPr>
        <w:rFonts w:ascii="Wingdings" w:hAnsi="Wingdings"/>
      </w:rPr>
    </w:lvl>
    <w:lvl w:ilvl="6" w:tplc="97BA378C">
      <w:start w:val="1"/>
      <w:numFmt w:val="bullet"/>
      <w:lvlText w:val=""/>
      <w:lvlJc w:val="left"/>
      <w:pPr>
        <w:tabs>
          <w:tab w:val="num" w:pos="5040"/>
        </w:tabs>
        <w:ind w:left="5040" w:hanging="360"/>
      </w:pPr>
      <w:rPr>
        <w:rFonts w:ascii="Symbol" w:hAnsi="Symbol"/>
      </w:rPr>
    </w:lvl>
    <w:lvl w:ilvl="7" w:tplc="6BE0DBD4">
      <w:start w:val="1"/>
      <w:numFmt w:val="bullet"/>
      <w:lvlText w:val="o"/>
      <w:lvlJc w:val="left"/>
      <w:pPr>
        <w:tabs>
          <w:tab w:val="num" w:pos="5760"/>
        </w:tabs>
        <w:ind w:left="5760" w:hanging="360"/>
      </w:pPr>
      <w:rPr>
        <w:rFonts w:ascii="Courier New" w:hAnsi="Courier New"/>
      </w:rPr>
    </w:lvl>
    <w:lvl w:ilvl="8" w:tplc="F70AFDEC">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tplc="2E70F592">
      <w:start w:val="1"/>
      <w:numFmt w:val="bullet"/>
      <w:lvlText w:val=""/>
      <w:lvlJc w:val="left"/>
      <w:pPr>
        <w:tabs>
          <w:tab w:val="num" w:pos="720"/>
        </w:tabs>
        <w:ind w:left="720" w:hanging="360"/>
      </w:pPr>
      <w:rPr>
        <w:rFonts w:ascii="Symbol" w:hAnsi="Symbol"/>
      </w:rPr>
    </w:lvl>
    <w:lvl w:ilvl="1" w:tplc="A7A01920">
      <w:start w:val="1"/>
      <w:numFmt w:val="bullet"/>
      <w:lvlText w:val="▪"/>
      <w:lvlJc w:val="left"/>
      <w:pPr>
        <w:tabs>
          <w:tab w:val="num" w:pos="1440"/>
        </w:tabs>
        <w:ind w:left="1440" w:hanging="360"/>
      </w:pPr>
      <w:rPr>
        <w:rFonts w:ascii="Arial" w:eastAsia="Arial" w:hAnsi="Arial" w:cs="Arial"/>
        <w:b w:val="0"/>
        <w:i w:val="0"/>
        <w:strike w:val="0"/>
        <w:sz w:val="24"/>
      </w:rPr>
    </w:lvl>
    <w:lvl w:ilvl="2" w:tplc="6A663488">
      <w:start w:val="1"/>
      <w:numFmt w:val="bullet"/>
      <w:lvlText w:val=""/>
      <w:lvlJc w:val="left"/>
      <w:pPr>
        <w:tabs>
          <w:tab w:val="num" w:pos="2160"/>
        </w:tabs>
        <w:ind w:left="2160" w:hanging="360"/>
      </w:pPr>
      <w:rPr>
        <w:rFonts w:ascii="Wingdings" w:hAnsi="Wingdings"/>
      </w:rPr>
    </w:lvl>
    <w:lvl w:ilvl="3" w:tplc="AF14197E">
      <w:start w:val="1"/>
      <w:numFmt w:val="bullet"/>
      <w:lvlText w:val=""/>
      <w:lvlJc w:val="left"/>
      <w:pPr>
        <w:tabs>
          <w:tab w:val="num" w:pos="2880"/>
        </w:tabs>
        <w:ind w:left="2880" w:hanging="360"/>
      </w:pPr>
      <w:rPr>
        <w:rFonts w:ascii="Symbol" w:hAnsi="Symbol"/>
      </w:rPr>
    </w:lvl>
    <w:lvl w:ilvl="4" w:tplc="6F72E204">
      <w:start w:val="1"/>
      <w:numFmt w:val="bullet"/>
      <w:lvlText w:val="o"/>
      <w:lvlJc w:val="left"/>
      <w:pPr>
        <w:tabs>
          <w:tab w:val="num" w:pos="3600"/>
        </w:tabs>
        <w:ind w:left="3600" w:hanging="360"/>
      </w:pPr>
      <w:rPr>
        <w:rFonts w:ascii="Courier New" w:hAnsi="Courier New"/>
      </w:rPr>
    </w:lvl>
    <w:lvl w:ilvl="5" w:tplc="374A6F76">
      <w:start w:val="1"/>
      <w:numFmt w:val="bullet"/>
      <w:lvlText w:val=""/>
      <w:lvlJc w:val="left"/>
      <w:pPr>
        <w:tabs>
          <w:tab w:val="num" w:pos="4320"/>
        </w:tabs>
        <w:ind w:left="4320" w:hanging="360"/>
      </w:pPr>
      <w:rPr>
        <w:rFonts w:ascii="Wingdings" w:hAnsi="Wingdings"/>
      </w:rPr>
    </w:lvl>
    <w:lvl w:ilvl="6" w:tplc="8092BF6E">
      <w:start w:val="1"/>
      <w:numFmt w:val="bullet"/>
      <w:lvlText w:val=""/>
      <w:lvlJc w:val="left"/>
      <w:pPr>
        <w:tabs>
          <w:tab w:val="num" w:pos="5040"/>
        </w:tabs>
        <w:ind w:left="5040" w:hanging="360"/>
      </w:pPr>
      <w:rPr>
        <w:rFonts w:ascii="Symbol" w:hAnsi="Symbol"/>
      </w:rPr>
    </w:lvl>
    <w:lvl w:ilvl="7" w:tplc="942C08A8">
      <w:start w:val="1"/>
      <w:numFmt w:val="bullet"/>
      <w:lvlText w:val="o"/>
      <w:lvlJc w:val="left"/>
      <w:pPr>
        <w:tabs>
          <w:tab w:val="num" w:pos="5760"/>
        </w:tabs>
        <w:ind w:left="5760" w:hanging="360"/>
      </w:pPr>
      <w:rPr>
        <w:rFonts w:ascii="Courier New" w:hAnsi="Courier New"/>
      </w:rPr>
    </w:lvl>
    <w:lvl w:ilvl="8" w:tplc="6808802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tplc="17F45E86">
      <w:start w:val="1"/>
      <w:numFmt w:val="bullet"/>
      <w:lvlText w:val=""/>
      <w:lvlJc w:val="left"/>
      <w:pPr>
        <w:tabs>
          <w:tab w:val="num" w:pos="720"/>
        </w:tabs>
        <w:ind w:left="720" w:hanging="360"/>
      </w:pPr>
      <w:rPr>
        <w:rFonts w:ascii="Symbol" w:hAnsi="Symbol"/>
      </w:rPr>
    </w:lvl>
    <w:lvl w:ilvl="1" w:tplc="B7EA2378">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0456D16A">
      <w:start w:val="1"/>
      <w:numFmt w:val="bullet"/>
      <w:lvlText w:val=""/>
      <w:lvlJc w:val="left"/>
      <w:pPr>
        <w:tabs>
          <w:tab w:val="num" w:pos="2160"/>
        </w:tabs>
        <w:ind w:left="2160" w:hanging="360"/>
      </w:pPr>
      <w:rPr>
        <w:rFonts w:ascii="Wingdings" w:hAnsi="Wingdings"/>
      </w:rPr>
    </w:lvl>
    <w:lvl w:ilvl="3" w:tplc="6FDEFDB6">
      <w:start w:val="1"/>
      <w:numFmt w:val="bullet"/>
      <w:lvlText w:val=""/>
      <w:lvlJc w:val="left"/>
      <w:pPr>
        <w:tabs>
          <w:tab w:val="num" w:pos="2880"/>
        </w:tabs>
        <w:ind w:left="2880" w:hanging="360"/>
      </w:pPr>
      <w:rPr>
        <w:rFonts w:ascii="Symbol" w:hAnsi="Symbol"/>
      </w:rPr>
    </w:lvl>
    <w:lvl w:ilvl="4" w:tplc="FD9AB382">
      <w:start w:val="1"/>
      <w:numFmt w:val="bullet"/>
      <w:lvlText w:val="o"/>
      <w:lvlJc w:val="left"/>
      <w:pPr>
        <w:tabs>
          <w:tab w:val="num" w:pos="3600"/>
        </w:tabs>
        <w:ind w:left="3600" w:hanging="360"/>
      </w:pPr>
      <w:rPr>
        <w:rFonts w:ascii="Courier New" w:hAnsi="Courier New"/>
      </w:rPr>
    </w:lvl>
    <w:lvl w:ilvl="5" w:tplc="3990D8C6">
      <w:start w:val="1"/>
      <w:numFmt w:val="bullet"/>
      <w:lvlText w:val=""/>
      <w:lvlJc w:val="left"/>
      <w:pPr>
        <w:tabs>
          <w:tab w:val="num" w:pos="4320"/>
        </w:tabs>
        <w:ind w:left="4320" w:hanging="360"/>
      </w:pPr>
      <w:rPr>
        <w:rFonts w:ascii="Wingdings" w:hAnsi="Wingdings"/>
      </w:rPr>
    </w:lvl>
    <w:lvl w:ilvl="6" w:tplc="DB886ACC">
      <w:start w:val="1"/>
      <w:numFmt w:val="bullet"/>
      <w:lvlText w:val=""/>
      <w:lvlJc w:val="left"/>
      <w:pPr>
        <w:tabs>
          <w:tab w:val="num" w:pos="5040"/>
        </w:tabs>
        <w:ind w:left="5040" w:hanging="360"/>
      </w:pPr>
      <w:rPr>
        <w:rFonts w:ascii="Symbol" w:hAnsi="Symbol"/>
      </w:rPr>
    </w:lvl>
    <w:lvl w:ilvl="7" w:tplc="A874055A">
      <w:start w:val="1"/>
      <w:numFmt w:val="bullet"/>
      <w:lvlText w:val="o"/>
      <w:lvlJc w:val="left"/>
      <w:pPr>
        <w:tabs>
          <w:tab w:val="num" w:pos="5760"/>
        </w:tabs>
        <w:ind w:left="5760" w:hanging="360"/>
      </w:pPr>
      <w:rPr>
        <w:rFonts w:ascii="Courier New" w:hAnsi="Courier New"/>
      </w:rPr>
    </w:lvl>
    <w:lvl w:ilvl="8" w:tplc="C95C5844">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tplc="09F08714">
      <w:start w:val="1"/>
      <w:numFmt w:val="bullet"/>
      <w:lvlText w:val=""/>
      <w:lvlJc w:val="left"/>
      <w:pPr>
        <w:tabs>
          <w:tab w:val="num" w:pos="720"/>
        </w:tabs>
        <w:ind w:left="720" w:hanging="360"/>
      </w:pPr>
      <w:rPr>
        <w:rFonts w:ascii="Symbol" w:hAnsi="Symbol"/>
      </w:rPr>
    </w:lvl>
    <w:lvl w:ilvl="1" w:tplc="7700BE9A">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A52291F0">
      <w:start w:val="1"/>
      <w:numFmt w:val="bullet"/>
      <w:lvlText w:val=""/>
      <w:lvlJc w:val="left"/>
      <w:pPr>
        <w:tabs>
          <w:tab w:val="num" w:pos="2160"/>
        </w:tabs>
        <w:ind w:left="2160" w:hanging="360"/>
      </w:pPr>
      <w:rPr>
        <w:rFonts w:ascii="Wingdings" w:hAnsi="Wingdings"/>
      </w:rPr>
    </w:lvl>
    <w:lvl w:ilvl="3" w:tplc="18FE0968">
      <w:start w:val="1"/>
      <w:numFmt w:val="bullet"/>
      <w:lvlText w:val=""/>
      <w:lvlJc w:val="left"/>
      <w:pPr>
        <w:tabs>
          <w:tab w:val="num" w:pos="2880"/>
        </w:tabs>
        <w:ind w:left="2880" w:hanging="360"/>
      </w:pPr>
      <w:rPr>
        <w:rFonts w:ascii="Symbol" w:hAnsi="Symbol"/>
      </w:rPr>
    </w:lvl>
    <w:lvl w:ilvl="4" w:tplc="1C7C4396">
      <w:start w:val="1"/>
      <w:numFmt w:val="bullet"/>
      <w:lvlText w:val="o"/>
      <w:lvlJc w:val="left"/>
      <w:pPr>
        <w:tabs>
          <w:tab w:val="num" w:pos="3600"/>
        </w:tabs>
        <w:ind w:left="3600" w:hanging="360"/>
      </w:pPr>
      <w:rPr>
        <w:rFonts w:ascii="Courier New" w:hAnsi="Courier New"/>
      </w:rPr>
    </w:lvl>
    <w:lvl w:ilvl="5" w:tplc="60FC2396">
      <w:start w:val="1"/>
      <w:numFmt w:val="bullet"/>
      <w:lvlText w:val=""/>
      <w:lvlJc w:val="left"/>
      <w:pPr>
        <w:tabs>
          <w:tab w:val="num" w:pos="4320"/>
        </w:tabs>
        <w:ind w:left="4320" w:hanging="360"/>
      </w:pPr>
      <w:rPr>
        <w:rFonts w:ascii="Wingdings" w:hAnsi="Wingdings"/>
      </w:rPr>
    </w:lvl>
    <w:lvl w:ilvl="6" w:tplc="79B6A1FA">
      <w:start w:val="1"/>
      <w:numFmt w:val="bullet"/>
      <w:lvlText w:val=""/>
      <w:lvlJc w:val="left"/>
      <w:pPr>
        <w:tabs>
          <w:tab w:val="num" w:pos="5040"/>
        </w:tabs>
        <w:ind w:left="5040" w:hanging="360"/>
      </w:pPr>
      <w:rPr>
        <w:rFonts w:ascii="Symbol" w:hAnsi="Symbol"/>
      </w:rPr>
    </w:lvl>
    <w:lvl w:ilvl="7" w:tplc="67E42E48">
      <w:start w:val="1"/>
      <w:numFmt w:val="bullet"/>
      <w:lvlText w:val="o"/>
      <w:lvlJc w:val="left"/>
      <w:pPr>
        <w:tabs>
          <w:tab w:val="num" w:pos="5760"/>
        </w:tabs>
        <w:ind w:left="5760" w:hanging="360"/>
      </w:pPr>
      <w:rPr>
        <w:rFonts w:ascii="Courier New" w:hAnsi="Courier New"/>
      </w:rPr>
    </w:lvl>
    <w:lvl w:ilvl="8" w:tplc="D7486CF2">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tplc="41CC94CE">
      <w:start w:val="1"/>
      <w:numFmt w:val="bullet"/>
      <w:lvlText w:val=""/>
      <w:lvlJc w:val="left"/>
      <w:pPr>
        <w:tabs>
          <w:tab w:val="num" w:pos="720"/>
        </w:tabs>
        <w:ind w:left="720" w:hanging="360"/>
      </w:pPr>
      <w:rPr>
        <w:rFonts w:ascii="Symbol" w:hAnsi="Symbol"/>
      </w:rPr>
    </w:lvl>
    <w:lvl w:ilvl="1" w:tplc="4210BB14">
      <w:start w:val="1"/>
      <w:numFmt w:val="bullet"/>
      <w:lvlText w:val="▪"/>
      <w:lvlJc w:val="left"/>
      <w:pPr>
        <w:tabs>
          <w:tab w:val="num" w:pos="1440"/>
        </w:tabs>
        <w:ind w:left="1440" w:hanging="360"/>
      </w:pPr>
      <w:rPr>
        <w:rFonts w:ascii="Arial" w:eastAsia="Arial" w:hAnsi="Arial" w:cs="Arial"/>
        <w:b w:val="0"/>
        <w:i w:val="0"/>
        <w:strike w:val="0"/>
        <w:sz w:val="24"/>
      </w:rPr>
    </w:lvl>
    <w:lvl w:ilvl="2" w:tplc="9070B80A">
      <w:start w:val="1"/>
      <w:numFmt w:val="bullet"/>
      <w:lvlText w:val=""/>
      <w:lvlJc w:val="left"/>
      <w:pPr>
        <w:tabs>
          <w:tab w:val="num" w:pos="2160"/>
        </w:tabs>
        <w:ind w:left="2160" w:hanging="360"/>
      </w:pPr>
      <w:rPr>
        <w:rFonts w:ascii="Wingdings" w:hAnsi="Wingdings"/>
      </w:rPr>
    </w:lvl>
    <w:lvl w:ilvl="3" w:tplc="D4D8DDF0">
      <w:start w:val="1"/>
      <w:numFmt w:val="bullet"/>
      <w:lvlText w:val=""/>
      <w:lvlJc w:val="left"/>
      <w:pPr>
        <w:tabs>
          <w:tab w:val="num" w:pos="2880"/>
        </w:tabs>
        <w:ind w:left="2880" w:hanging="360"/>
      </w:pPr>
      <w:rPr>
        <w:rFonts w:ascii="Symbol" w:hAnsi="Symbol"/>
      </w:rPr>
    </w:lvl>
    <w:lvl w:ilvl="4" w:tplc="CFE2CC4A">
      <w:start w:val="1"/>
      <w:numFmt w:val="bullet"/>
      <w:lvlText w:val="o"/>
      <w:lvlJc w:val="left"/>
      <w:pPr>
        <w:tabs>
          <w:tab w:val="num" w:pos="3600"/>
        </w:tabs>
        <w:ind w:left="3600" w:hanging="360"/>
      </w:pPr>
      <w:rPr>
        <w:rFonts w:ascii="Courier New" w:hAnsi="Courier New"/>
      </w:rPr>
    </w:lvl>
    <w:lvl w:ilvl="5" w:tplc="F1829B42">
      <w:start w:val="1"/>
      <w:numFmt w:val="bullet"/>
      <w:lvlText w:val=""/>
      <w:lvlJc w:val="left"/>
      <w:pPr>
        <w:tabs>
          <w:tab w:val="num" w:pos="4320"/>
        </w:tabs>
        <w:ind w:left="4320" w:hanging="360"/>
      </w:pPr>
      <w:rPr>
        <w:rFonts w:ascii="Wingdings" w:hAnsi="Wingdings"/>
      </w:rPr>
    </w:lvl>
    <w:lvl w:ilvl="6" w:tplc="D2E072D0">
      <w:start w:val="1"/>
      <w:numFmt w:val="bullet"/>
      <w:lvlText w:val=""/>
      <w:lvlJc w:val="left"/>
      <w:pPr>
        <w:tabs>
          <w:tab w:val="num" w:pos="5040"/>
        </w:tabs>
        <w:ind w:left="5040" w:hanging="360"/>
      </w:pPr>
      <w:rPr>
        <w:rFonts w:ascii="Symbol" w:hAnsi="Symbol"/>
      </w:rPr>
    </w:lvl>
    <w:lvl w:ilvl="7" w:tplc="2B249380">
      <w:start w:val="1"/>
      <w:numFmt w:val="bullet"/>
      <w:lvlText w:val="o"/>
      <w:lvlJc w:val="left"/>
      <w:pPr>
        <w:tabs>
          <w:tab w:val="num" w:pos="5760"/>
        </w:tabs>
        <w:ind w:left="5760" w:hanging="360"/>
      </w:pPr>
      <w:rPr>
        <w:rFonts w:ascii="Courier New" w:hAnsi="Courier New"/>
      </w:rPr>
    </w:lvl>
    <w:lvl w:ilvl="8" w:tplc="28CA43B2">
      <w:start w:val="1"/>
      <w:numFmt w:val="bullet"/>
      <w:lvlText w:val=""/>
      <w:lvlJc w:val="left"/>
      <w:pPr>
        <w:tabs>
          <w:tab w:val="num" w:pos="6480"/>
        </w:tabs>
        <w:ind w:left="6480" w:hanging="360"/>
      </w:pPr>
      <w:rPr>
        <w:rFonts w:ascii="Wingdings" w:hAnsi="Wingdings"/>
      </w:rPr>
    </w:lvl>
  </w:abstractNum>
  <w:abstractNum w:abstractNumId="50">
    <w:nsid w:val="00000033"/>
    <w:multiLevelType w:val="multilevel"/>
    <w:tmpl w:val="00000008"/>
    <w:lvl w:ilvl="0">
      <w:start w:val="1"/>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00000034"/>
    <w:multiLevelType w:val="multilevel"/>
    <w:tmpl w:val="00000008"/>
    <w:lvl w:ilvl="0">
      <w:start w:val="1"/>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0000035"/>
    <w:multiLevelType w:val="multilevel"/>
    <w:tmpl w:val="00000008"/>
    <w:lvl w:ilvl="0">
      <w:start w:val="2"/>
      <w:numFmt w:val="decimal"/>
      <w:lvlText w:val="(%1)"/>
      <w:lvlJc w:val="left"/>
      <w:pPr>
        <w:tabs>
          <w:tab w:val="num" w:pos="630"/>
        </w:tabs>
        <w:ind w:left="720" w:hanging="360"/>
      </w:pPr>
      <w:rPr>
        <w:rFonts w:ascii="Arial" w:eastAsia="Arial" w:hAnsi="Arial" w:cs="Arial"/>
        <w:b w:val="0"/>
        <w:i/>
        <w:strike w:val="0"/>
        <w:color w:val="000000"/>
        <w:sz w:val="1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6"/>
    <w:multiLevelType w:val="multilevel"/>
    <w:tmpl w:val="00000008"/>
    <w:lvl w:ilvl="0">
      <w:start w:val="3"/>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08"/>
    <w:lvl w:ilvl="0">
      <w:start w:val="4"/>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8"/>
    <w:multiLevelType w:val="multilevel"/>
    <w:tmpl w:val="00000008"/>
    <w:lvl w:ilvl="0">
      <w:start w:val="5"/>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00000039"/>
    <w:multiLevelType w:val="multilevel"/>
    <w:tmpl w:val="00000008"/>
    <w:lvl w:ilvl="0">
      <w:start w:val="6"/>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0000003A"/>
    <w:multiLevelType w:val="multilevel"/>
    <w:tmpl w:val="00000008"/>
    <w:lvl w:ilvl="0">
      <w:start w:val="1"/>
      <w:numFmt w:val="decimal"/>
      <w:lvlText w:val="(%1)"/>
      <w:lvlJc w:val="left"/>
      <w:pPr>
        <w:tabs>
          <w:tab w:val="num" w:pos="72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000003B"/>
    <w:multiLevelType w:val="multilevel"/>
    <w:tmpl w:val="00000008"/>
    <w:lvl w:ilvl="0">
      <w:start w:val="2"/>
      <w:numFmt w:val="decimal"/>
      <w:lvlText w:val="(%1)"/>
      <w:lvlJc w:val="left"/>
      <w:pPr>
        <w:tabs>
          <w:tab w:val="num" w:pos="72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51A2"/>
    <w:rsid w:val="000072FF"/>
    <w:rsid w:val="00086E54"/>
    <w:rsid w:val="00087C99"/>
    <w:rsid w:val="00094DE3"/>
    <w:rsid w:val="000A5AE1"/>
    <w:rsid w:val="000E333F"/>
    <w:rsid w:val="000E5D90"/>
    <w:rsid w:val="000F3874"/>
    <w:rsid w:val="00125AB2"/>
    <w:rsid w:val="00206452"/>
    <w:rsid w:val="002152F3"/>
    <w:rsid w:val="002223ED"/>
    <w:rsid w:val="00267DC7"/>
    <w:rsid w:val="002A79FC"/>
    <w:rsid w:val="002C0130"/>
    <w:rsid w:val="002C11B2"/>
    <w:rsid w:val="00303492"/>
    <w:rsid w:val="00312739"/>
    <w:rsid w:val="00336FFA"/>
    <w:rsid w:val="00374239"/>
    <w:rsid w:val="00391C92"/>
    <w:rsid w:val="003E21C4"/>
    <w:rsid w:val="004218CD"/>
    <w:rsid w:val="004407E3"/>
    <w:rsid w:val="00490422"/>
    <w:rsid w:val="00492D4C"/>
    <w:rsid w:val="004A6ABA"/>
    <w:rsid w:val="004C5B0E"/>
    <w:rsid w:val="00502708"/>
    <w:rsid w:val="00510581"/>
    <w:rsid w:val="0052101E"/>
    <w:rsid w:val="00571E9A"/>
    <w:rsid w:val="00591BC4"/>
    <w:rsid w:val="005B4A5D"/>
    <w:rsid w:val="005F7970"/>
    <w:rsid w:val="0061045F"/>
    <w:rsid w:val="0061795B"/>
    <w:rsid w:val="00617F9F"/>
    <w:rsid w:val="00620959"/>
    <w:rsid w:val="0063461F"/>
    <w:rsid w:val="00644BD6"/>
    <w:rsid w:val="00651963"/>
    <w:rsid w:val="00652A8B"/>
    <w:rsid w:val="006753BF"/>
    <w:rsid w:val="006A20C0"/>
    <w:rsid w:val="006C0BA0"/>
    <w:rsid w:val="006C7826"/>
    <w:rsid w:val="006D65C3"/>
    <w:rsid w:val="006E3FBB"/>
    <w:rsid w:val="00704743"/>
    <w:rsid w:val="00731A8D"/>
    <w:rsid w:val="0079216A"/>
    <w:rsid w:val="00793F17"/>
    <w:rsid w:val="007A51AB"/>
    <w:rsid w:val="00802338"/>
    <w:rsid w:val="00832740"/>
    <w:rsid w:val="008673D2"/>
    <w:rsid w:val="00867E96"/>
    <w:rsid w:val="0088578C"/>
    <w:rsid w:val="008B49C9"/>
    <w:rsid w:val="008C26A9"/>
    <w:rsid w:val="008C4B28"/>
    <w:rsid w:val="008D5874"/>
    <w:rsid w:val="0090131B"/>
    <w:rsid w:val="00906DE1"/>
    <w:rsid w:val="0096154A"/>
    <w:rsid w:val="00961AF2"/>
    <w:rsid w:val="0097190E"/>
    <w:rsid w:val="00971969"/>
    <w:rsid w:val="009A6E00"/>
    <w:rsid w:val="00A03C22"/>
    <w:rsid w:val="00A14D44"/>
    <w:rsid w:val="00A1532D"/>
    <w:rsid w:val="00A34AAF"/>
    <w:rsid w:val="00A77B3E"/>
    <w:rsid w:val="00AC5FC2"/>
    <w:rsid w:val="00AC6413"/>
    <w:rsid w:val="00AC6885"/>
    <w:rsid w:val="00AC78B2"/>
    <w:rsid w:val="00AF73DD"/>
    <w:rsid w:val="00B03804"/>
    <w:rsid w:val="00B96DEB"/>
    <w:rsid w:val="00BA1E3E"/>
    <w:rsid w:val="00BC2819"/>
    <w:rsid w:val="00BF725B"/>
    <w:rsid w:val="00C01899"/>
    <w:rsid w:val="00C20406"/>
    <w:rsid w:val="00C41B96"/>
    <w:rsid w:val="00CA2A55"/>
    <w:rsid w:val="00CC17BD"/>
    <w:rsid w:val="00CD0AD1"/>
    <w:rsid w:val="00D16655"/>
    <w:rsid w:val="00D314C2"/>
    <w:rsid w:val="00D44227"/>
    <w:rsid w:val="00D8650C"/>
    <w:rsid w:val="00DA3C17"/>
    <w:rsid w:val="00DC24C5"/>
    <w:rsid w:val="00DD14FD"/>
    <w:rsid w:val="00DE2EC5"/>
    <w:rsid w:val="00DF62AB"/>
    <w:rsid w:val="00E14B07"/>
    <w:rsid w:val="00E259C4"/>
    <w:rsid w:val="00E377E6"/>
    <w:rsid w:val="00EA7BA0"/>
    <w:rsid w:val="00ED76E7"/>
    <w:rsid w:val="00EF5CAD"/>
    <w:rsid w:val="00F1512B"/>
    <w:rsid w:val="00F1755A"/>
    <w:rsid w:val="00F231DD"/>
    <w:rsid w:val="00F44D94"/>
    <w:rsid w:val="00F56C9A"/>
    <w:rsid w:val="00F61D04"/>
    <w:rsid w:val="00F81D91"/>
    <w:rsid w:val="00FA0FC9"/>
    <w:rsid w:val="00FB7F99"/>
    <w:rsid w:val="00FD1406"/>
    <w:rsid w:val="18C3F153"/>
    <w:rsid w:val="783BB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l-G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6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bulletasterisk">
    <w:name w:val="bullet.asterisk"/>
    <w:rsid w:val="00ED76E7"/>
    <w:pPr>
      <w:numPr>
        <w:numId w:val="1"/>
      </w:numPr>
    </w:pPr>
  </w:style>
  <w:style w:type="numbering" w:customStyle="1" w:styleId="bulletcircle">
    <w:name w:val="bullet.circle"/>
    <w:rsid w:val="00ED76E7"/>
    <w:pPr>
      <w:numPr>
        <w:numId w:val="2"/>
      </w:numPr>
    </w:pPr>
  </w:style>
  <w:style w:type="numbering" w:customStyle="1" w:styleId="bulletdagger">
    <w:name w:val="bullet.dagger"/>
    <w:rsid w:val="00ED76E7"/>
    <w:pPr>
      <w:numPr>
        <w:numId w:val="3"/>
      </w:numPr>
    </w:pPr>
  </w:style>
  <w:style w:type="numbering" w:customStyle="1" w:styleId="bulletdash">
    <w:name w:val="bullet.dash"/>
    <w:rsid w:val="00ED76E7"/>
    <w:pPr>
      <w:numPr>
        <w:numId w:val="4"/>
      </w:numPr>
    </w:pPr>
  </w:style>
  <w:style w:type="numbering" w:customStyle="1" w:styleId="bulletlargebox">
    <w:name w:val="bullet.largebox"/>
    <w:rsid w:val="00ED76E7"/>
    <w:pPr>
      <w:numPr>
        <w:numId w:val="5"/>
      </w:numPr>
    </w:pPr>
  </w:style>
  <w:style w:type="numbering" w:customStyle="1" w:styleId="bulletround">
    <w:name w:val="bullet.round"/>
    <w:rsid w:val="00ED76E7"/>
    <w:pPr>
      <w:numPr>
        <w:numId w:val="6"/>
      </w:numPr>
    </w:pPr>
  </w:style>
  <w:style w:type="numbering" w:customStyle="1" w:styleId="bulletsquare">
    <w:name w:val="bullet.square"/>
    <w:rsid w:val="00ED76E7"/>
    <w:pPr>
      <w:numPr>
        <w:numId w:val="7"/>
      </w:numPr>
    </w:pPr>
  </w:style>
  <w:style w:type="numbering" w:customStyle="1" w:styleId="listarabic">
    <w:name w:val="list.arabic"/>
    <w:rsid w:val="00ED76E7"/>
    <w:pPr>
      <w:numPr>
        <w:numId w:val="8"/>
      </w:numPr>
    </w:pPr>
  </w:style>
  <w:style w:type="numbering" w:customStyle="1" w:styleId="listlatinlowercase">
    <w:name w:val="list.latin.lowercase"/>
    <w:rsid w:val="00ED76E7"/>
    <w:pPr>
      <w:numPr>
        <w:numId w:val="9"/>
      </w:numPr>
    </w:pPr>
  </w:style>
  <w:style w:type="numbering" w:customStyle="1" w:styleId="listlatinuppercase">
    <w:name w:val="list.latin.uppercase"/>
    <w:rsid w:val="00ED76E7"/>
    <w:pPr>
      <w:numPr>
        <w:numId w:val="10"/>
      </w:numPr>
    </w:pPr>
  </w:style>
  <w:style w:type="numbering" w:customStyle="1" w:styleId="listromanlowercase">
    <w:name w:val="list.roman.lowercase"/>
    <w:rsid w:val="00ED76E7"/>
    <w:pPr>
      <w:numPr>
        <w:numId w:val="11"/>
      </w:numPr>
    </w:pPr>
  </w:style>
  <w:style w:type="numbering" w:customStyle="1" w:styleId="listromanuppercase">
    <w:name w:val="list.roman.uppercase"/>
    <w:rsid w:val="00ED76E7"/>
    <w:pPr>
      <w:numPr>
        <w:numId w:val="12"/>
      </w:numPr>
    </w:pPr>
  </w:style>
  <w:style w:type="numbering" w:customStyle="1" w:styleId="outlinearabic">
    <w:name w:val="outline.arabic"/>
    <w:rsid w:val="00ED76E7"/>
    <w:pPr>
      <w:numPr>
        <w:numId w:val="13"/>
      </w:numPr>
    </w:pPr>
  </w:style>
  <w:style w:type="character" w:styleId="a3">
    <w:name w:val="footnote reference"/>
    <w:basedOn w:val="a0"/>
    <w:rsid w:val="00805BCE"/>
    <w:rPr>
      <w:vertAlign w:val="superscript"/>
    </w:rPr>
  </w:style>
  <w:style w:type="paragraph" w:styleId="a4">
    <w:name w:val="footnote text"/>
    <w:basedOn w:val="a"/>
    <w:link w:val="Char"/>
    <w:uiPriority w:val="99"/>
    <w:rsid w:val="000F3DF7"/>
    <w:rPr>
      <w:sz w:val="20"/>
      <w:szCs w:val="20"/>
    </w:rPr>
  </w:style>
  <w:style w:type="character" w:customStyle="1" w:styleId="Char">
    <w:name w:val="Κείμενο υποσημείωσης Char"/>
    <w:basedOn w:val="a0"/>
    <w:link w:val="a4"/>
    <w:uiPriority w:val="99"/>
    <w:rsid w:val="000F3DF7"/>
    <w:rPr>
      <w:sz w:val="20"/>
      <w:szCs w:val="20"/>
    </w:rPr>
  </w:style>
  <w:style w:type="paragraph" w:styleId="a5">
    <w:name w:val="header"/>
    <w:basedOn w:val="a"/>
    <w:link w:val="Char0"/>
    <w:rsid w:val="00D8650C"/>
    <w:pPr>
      <w:tabs>
        <w:tab w:val="center" w:pos="4320"/>
        <w:tab w:val="right" w:pos="8640"/>
      </w:tabs>
    </w:pPr>
  </w:style>
  <w:style w:type="character" w:customStyle="1" w:styleId="Char0">
    <w:name w:val="Κεφαλίδα Char"/>
    <w:basedOn w:val="a0"/>
    <w:link w:val="a5"/>
    <w:rsid w:val="00D8650C"/>
    <w:rPr>
      <w:sz w:val="24"/>
      <w:szCs w:val="24"/>
    </w:rPr>
  </w:style>
  <w:style w:type="paragraph" w:styleId="a6">
    <w:name w:val="footer"/>
    <w:basedOn w:val="a"/>
    <w:link w:val="Char1"/>
    <w:rsid w:val="00D8650C"/>
    <w:pPr>
      <w:tabs>
        <w:tab w:val="center" w:pos="4320"/>
        <w:tab w:val="right" w:pos="8640"/>
      </w:tabs>
    </w:pPr>
  </w:style>
  <w:style w:type="character" w:customStyle="1" w:styleId="Char1">
    <w:name w:val="Υποσέλιδο Char"/>
    <w:basedOn w:val="a0"/>
    <w:link w:val="a6"/>
    <w:rsid w:val="00D8650C"/>
    <w:rPr>
      <w:sz w:val="24"/>
      <w:szCs w:val="24"/>
    </w:rPr>
  </w:style>
  <w:style w:type="paragraph" w:styleId="a7">
    <w:name w:val="Revision"/>
    <w:hidden/>
    <w:uiPriority w:val="99"/>
    <w:semiHidden/>
    <w:rsid w:val="00D44227"/>
    <w:rPr>
      <w:sz w:val="24"/>
      <w:szCs w:val="24"/>
    </w:rPr>
  </w:style>
  <w:style w:type="paragraph" w:styleId="a8">
    <w:name w:val="Balloon Text"/>
    <w:basedOn w:val="a"/>
    <w:link w:val="Char2"/>
    <w:rsid w:val="00F61D04"/>
    <w:rPr>
      <w:rFonts w:ascii="Tahoma" w:hAnsi="Tahoma" w:cs="Tahoma"/>
      <w:sz w:val="16"/>
      <w:szCs w:val="16"/>
    </w:rPr>
  </w:style>
  <w:style w:type="character" w:customStyle="1" w:styleId="Char2">
    <w:name w:val="Κείμενο πλαισίου Char"/>
    <w:basedOn w:val="a0"/>
    <w:link w:val="a8"/>
    <w:rsid w:val="00F61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l-G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6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bulletasterisk">
    <w:name w:val="bullet.asterisk"/>
    <w:rsid w:val="00ED76E7"/>
    <w:pPr>
      <w:numPr>
        <w:numId w:val="1"/>
      </w:numPr>
    </w:pPr>
  </w:style>
  <w:style w:type="numbering" w:customStyle="1" w:styleId="bulletcircle">
    <w:name w:val="bullet.circle"/>
    <w:rsid w:val="00ED76E7"/>
    <w:pPr>
      <w:numPr>
        <w:numId w:val="2"/>
      </w:numPr>
    </w:pPr>
  </w:style>
  <w:style w:type="numbering" w:customStyle="1" w:styleId="bulletdagger">
    <w:name w:val="bullet.dagger"/>
    <w:rsid w:val="00ED76E7"/>
    <w:pPr>
      <w:numPr>
        <w:numId w:val="3"/>
      </w:numPr>
    </w:pPr>
  </w:style>
  <w:style w:type="numbering" w:customStyle="1" w:styleId="bulletdash">
    <w:name w:val="bullet.dash"/>
    <w:rsid w:val="00ED76E7"/>
    <w:pPr>
      <w:numPr>
        <w:numId w:val="4"/>
      </w:numPr>
    </w:pPr>
  </w:style>
  <w:style w:type="numbering" w:customStyle="1" w:styleId="bulletlargebox">
    <w:name w:val="bullet.largebox"/>
    <w:rsid w:val="00ED76E7"/>
    <w:pPr>
      <w:numPr>
        <w:numId w:val="5"/>
      </w:numPr>
    </w:pPr>
  </w:style>
  <w:style w:type="numbering" w:customStyle="1" w:styleId="bulletround">
    <w:name w:val="bullet.round"/>
    <w:rsid w:val="00ED76E7"/>
    <w:pPr>
      <w:numPr>
        <w:numId w:val="6"/>
      </w:numPr>
    </w:pPr>
  </w:style>
  <w:style w:type="numbering" w:customStyle="1" w:styleId="bulletsquare">
    <w:name w:val="bullet.square"/>
    <w:rsid w:val="00ED76E7"/>
    <w:pPr>
      <w:numPr>
        <w:numId w:val="7"/>
      </w:numPr>
    </w:pPr>
  </w:style>
  <w:style w:type="numbering" w:customStyle="1" w:styleId="listarabic">
    <w:name w:val="list.arabic"/>
    <w:rsid w:val="00ED76E7"/>
    <w:pPr>
      <w:numPr>
        <w:numId w:val="8"/>
      </w:numPr>
    </w:pPr>
  </w:style>
  <w:style w:type="numbering" w:customStyle="1" w:styleId="listlatinlowercase">
    <w:name w:val="list.latin.lowercase"/>
    <w:rsid w:val="00ED76E7"/>
    <w:pPr>
      <w:numPr>
        <w:numId w:val="9"/>
      </w:numPr>
    </w:pPr>
  </w:style>
  <w:style w:type="numbering" w:customStyle="1" w:styleId="listlatinuppercase">
    <w:name w:val="list.latin.uppercase"/>
    <w:rsid w:val="00ED76E7"/>
    <w:pPr>
      <w:numPr>
        <w:numId w:val="10"/>
      </w:numPr>
    </w:pPr>
  </w:style>
  <w:style w:type="numbering" w:customStyle="1" w:styleId="listromanlowercase">
    <w:name w:val="list.roman.lowercase"/>
    <w:rsid w:val="00ED76E7"/>
    <w:pPr>
      <w:numPr>
        <w:numId w:val="11"/>
      </w:numPr>
    </w:pPr>
  </w:style>
  <w:style w:type="numbering" w:customStyle="1" w:styleId="listromanuppercase">
    <w:name w:val="list.roman.uppercase"/>
    <w:rsid w:val="00ED76E7"/>
    <w:pPr>
      <w:numPr>
        <w:numId w:val="12"/>
      </w:numPr>
    </w:pPr>
  </w:style>
  <w:style w:type="numbering" w:customStyle="1" w:styleId="outlinearabic">
    <w:name w:val="outline.arabic"/>
    <w:rsid w:val="00ED76E7"/>
    <w:pPr>
      <w:numPr>
        <w:numId w:val="13"/>
      </w:numPr>
    </w:pPr>
  </w:style>
  <w:style w:type="character" w:styleId="a3">
    <w:name w:val="footnote reference"/>
    <w:basedOn w:val="a0"/>
    <w:rsid w:val="00805BCE"/>
    <w:rPr>
      <w:vertAlign w:val="superscript"/>
    </w:rPr>
  </w:style>
  <w:style w:type="paragraph" w:styleId="a4">
    <w:name w:val="footnote text"/>
    <w:basedOn w:val="a"/>
    <w:link w:val="Char"/>
    <w:uiPriority w:val="99"/>
    <w:rsid w:val="000F3DF7"/>
    <w:rPr>
      <w:sz w:val="20"/>
      <w:szCs w:val="20"/>
    </w:rPr>
  </w:style>
  <w:style w:type="character" w:customStyle="1" w:styleId="Char">
    <w:name w:val="Κείμενο υποσημείωσης Char"/>
    <w:basedOn w:val="a0"/>
    <w:link w:val="a4"/>
    <w:uiPriority w:val="99"/>
    <w:rsid w:val="000F3DF7"/>
    <w:rPr>
      <w:sz w:val="20"/>
      <w:szCs w:val="20"/>
    </w:rPr>
  </w:style>
  <w:style w:type="paragraph" w:styleId="a5">
    <w:name w:val="header"/>
    <w:basedOn w:val="a"/>
    <w:link w:val="Char0"/>
    <w:rsid w:val="00D8650C"/>
    <w:pPr>
      <w:tabs>
        <w:tab w:val="center" w:pos="4320"/>
        <w:tab w:val="right" w:pos="8640"/>
      </w:tabs>
    </w:pPr>
  </w:style>
  <w:style w:type="character" w:customStyle="1" w:styleId="Char0">
    <w:name w:val="Κεφαλίδα Char"/>
    <w:basedOn w:val="a0"/>
    <w:link w:val="a5"/>
    <w:rsid w:val="00D8650C"/>
    <w:rPr>
      <w:sz w:val="24"/>
      <w:szCs w:val="24"/>
    </w:rPr>
  </w:style>
  <w:style w:type="paragraph" w:styleId="a6">
    <w:name w:val="footer"/>
    <w:basedOn w:val="a"/>
    <w:link w:val="Char1"/>
    <w:rsid w:val="00D8650C"/>
    <w:pPr>
      <w:tabs>
        <w:tab w:val="center" w:pos="4320"/>
        <w:tab w:val="right" w:pos="8640"/>
      </w:tabs>
    </w:pPr>
  </w:style>
  <w:style w:type="character" w:customStyle="1" w:styleId="Char1">
    <w:name w:val="Υποσέλιδο Char"/>
    <w:basedOn w:val="a0"/>
    <w:link w:val="a6"/>
    <w:rsid w:val="00D8650C"/>
    <w:rPr>
      <w:sz w:val="24"/>
      <w:szCs w:val="24"/>
    </w:rPr>
  </w:style>
  <w:style w:type="paragraph" w:styleId="a7">
    <w:name w:val="Revision"/>
    <w:hidden/>
    <w:uiPriority w:val="99"/>
    <w:semiHidden/>
    <w:rsid w:val="00D44227"/>
    <w:rPr>
      <w:sz w:val="24"/>
      <w:szCs w:val="24"/>
    </w:rPr>
  </w:style>
  <w:style w:type="paragraph" w:styleId="a8">
    <w:name w:val="Balloon Text"/>
    <w:basedOn w:val="a"/>
    <w:link w:val="Char2"/>
    <w:rsid w:val="00F61D04"/>
    <w:rPr>
      <w:rFonts w:ascii="Tahoma" w:hAnsi="Tahoma" w:cs="Tahoma"/>
      <w:sz w:val="16"/>
      <w:szCs w:val="16"/>
    </w:rPr>
  </w:style>
  <w:style w:type="character" w:customStyle="1" w:styleId="Char2">
    <w:name w:val="Κείμενο πλαισίου Char"/>
    <w:basedOn w:val="a0"/>
    <w:link w:val="a8"/>
    <w:rsid w:val="00F61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yj92oFQgmz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8DDE51D4E88941A5FC5DA62264168B" ma:contentTypeVersion="17" ma:contentTypeDescription="Create a new document." ma:contentTypeScope="" ma:versionID="eabfc58c4b9ebdcba39ce7626400a028">
  <xsd:schema xmlns:xsd="http://www.w3.org/2001/XMLSchema" xmlns:xs="http://www.w3.org/2001/XMLSchema" xmlns:p="http://schemas.microsoft.com/office/2006/metadata/properties" xmlns:ns2="4b45065f-5fea-45ff-9c00-6a5be42a1b2a" xmlns:ns3="15e29cb4-97d7-4dab-b50c-5012ea82a173" targetNamespace="http://schemas.microsoft.com/office/2006/metadata/properties" ma:root="true" ma:fieldsID="44dbec208f86fb34bb9e04d2e8f2e75a" ns2:_="" ns3:_="">
    <xsd:import namespace="4b45065f-5fea-45ff-9c00-6a5be42a1b2a"/>
    <xsd:import namespace="15e29cb4-97d7-4dab-b50c-5012ea82a1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5065f-5fea-45ff-9c00-6a5be42a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e90750-8f71-40f6-953d-bf18f71a77a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29cb4-97d7-4dab-b50c-5012ea82a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ced650-b719-4124-a818-bf0a5fbb8f15}" ma:internalName="TaxCatchAll" ma:showField="CatchAllData" ma:web="15e29cb4-97d7-4dab-b50c-5012ea82a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e29cb4-97d7-4dab-b50c-5012ea82a173" xsi:nil="true"/>
    <lcf76f155ced4ddcb4097134ff3c332f xmlns="4b45065f-5fea-45ff-9c00-6a5be42a1b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8CEE3-2C47-4E4E-BA93-FD6AEA826063}">
  <ds:schemaRefs>
    <ds:schemaRef ds:uri="http://schemas.microsoft.com/sharepoint/v3/contenttype/forms"/>
  </ds:schemaRefs>
</ds:datastoreItem>
</file>

<file path=customXml/itemProps2.xml><?xml version="1.0" encoding="utf-8"?>
<ds:datastoreItem xmlns:ds="http://schemas.openxmlformats.org/officeDocument/2006/customXml" ds:itemID="{A889862B-A91F-453A-A57C-6EE936B0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5065f-5fea-45ff-9c00-6a5be42a1b2a"/>
    <ds:schemaRef ds:uri="15e29cb4-97d7-4dab-b50c-5012ea82a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FE498-1CF6-4571-B4D0-C255E65C1376}">
  <ds:schemaRefs>
    <ds:schemaRef ds:uri="http://schemas.microsoft.com/office/2006/metadata/properties"/>
    <ds:schemaRef ds:uri="http://schemas.microsoft.com/office/infopath/2007/PartnerControls"/>
    <ds:schemaRef ds:uri="15e29cb4-97d7-4dab-b50c-5012ea82a173"/>
    <ds:schemaRef ds:uri="4b45065f-5fea-45ff-9c00-6a5be42a1b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7536</Words>
  <Characters>40700</Characters>
  <Application>Microsoft Office Word</Application>
  <DocSecurity>0</DocSecurity>
  <Lines>339</Lines>
  <Paragraphs>96</Paragraphs>
  <ScaleCrop>false</ScaleCrop>
  <Company/>
  <LinksUpToDate>false</LinksUpToDate>
  <CharactersWithSpaces>48140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Eldorado Gold Reports 2024 Year-End and Fourth Quarter Financial and Operational Results - 99.1</dc:title>
  <dc:creator>John O'Shea</dc:creator>
  <cp:lastModifiedBy>Maria Tsirmpa</cp:lastModifiedBy>
  <cp:revision>2</cp:revision>
  <dcterms:created xsi:type="dcterms:W3CDTF">2025-02-21T10:59:00Z</dcterms:created>
  <dcterms:modified xsi:type="dcterms:W3CDTF">2025-02-21T10:59:00Z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0x010100D88DDE51D4E88941A5FC5DA62264168B</vt:lpwstr>
  </property>
  <property fmtid="{D5CDD505-2E9C-101B-9397-08002B2CF9AE}" pid="3" name="MediaServiceImageTags">
    <vt:lpwstr/>
  </property>
</Properties>
</file>