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he Wave Sans TT" w:cs="The Wave Sans TT" w:eastAsia="The Wave Sans TT" w:hAnsi="The Wave Sans TT"/>
          <w:b w:val="1"/>
          <w:color w:val="0032a0"/>
          <w:sz w:val="20"/>
          <w:szCs w:val="20"/>
        </w:rPr>
      </w:pPr>
      <w:bookmarkStart w:colFirst="0" w:colLast="0" w:name="_gjdgxs" w:id="0"/>
      <w:bookmarkEnd w:id="0"/>
      <w:r w:rsidDel="00000000" w:rsidR="00000000" w:rsidRPr="00000000">
        <w:rPr>
          <w:rFonts w:ascii="The Wave Sans TT" w:cs="The Wave Sans TT" w:eastAsia="The Wave Sans TT" w:hAnsi="The Wave Sans TT"/>
          <w:b w:val="1"/>
          <w:color w:val="0032a0"/>
          <w:sz w:val="20"/>
          <w:szCs w:val="20"/>
          <w:rtl w:val="0"/>
        </w:rPr>
        <w:t xml:space="preserve">Μαρούσι, 16 Μαΐου 2024</w:t>
      </w:r>
    </w:p>
    <w:p w:rsidR="00000000" w:rsidDel="00000000" w:rsidP="00000000" w:rsidRDefault="00000000" w:rsidRPr="00000000" w14:paraId="00000002">
      <w:pPr>
        <w:spacing w:after="0" w:line="240" w:lineRule="auto"/>
        <w:rPr>
          <w:rFonts w:ascii="The Wave Sans TT" w:cs="The Wave Sans TT" w:eastAsia="The Wave Sans TT" w:hAnsi="The Wave Sans TT"/>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he Wave Sans TT" w:cs="The Wave Sans TT" w:eastAsia="The Wave Sans TT" w:hAnsi="The Wave Sans TT"/>
          <w:b w:val="1"/>
          <w:sz w:val="26"/>
          <w:szCs w:val="26"/>
        </w:rPr>
      </w:pPr>
      <w:r w:rsidDel="00000000" w:rsidR="00000000" w:rsidRPr="00000000">
        <w:rPr>
          <w:rFonts w:ascii="The Wave Sans TT" w:cs="The Wave Sans TT" w:eastAsia="The Wave Sans TT" w:hAnsi="The Wave Sans TT"/>
          <w:b w:val="1"/>
          <w:sz w:val="26"/>
          <w:szCs w:val="26"/>
          <w:rtl w:val="0"/>
        </w:rPr>
        <w:t xml:space="preserve">Αποτελέσματα Α’ Τριμήνου 2024</w:t>
      </w:r>
    </w:p>
    <w:p w:rsidR="00000000" w:rsidDel="00000000" w:rsidP="00000000" w:rsidRDefault="00000000" w:rsidRPr="00000000" w14:paraId="00000004">
      <w:pPr>
        <w:spacing w:after="0" w:line="240" w:lineRule="auto"/>
        <w:rPr>
          <w:rFonts w:ascii="The Wave Sans TT" w:cs="The Wave Sans TT" w:eastAsia="The Wave Sans TT" w:hAnsi="The Wave Sans TT"/>
        </w:rPr>
      </w:pPr>
      <w:r w:rsidDel="00000000" w:rsidR="00000000" w:rsidRPr="00000000">
        <w:rPr>
          <w:rtl w:val="0"/>
        </w:rPr>
      </w:r>
    </w:p>
    <w:p w:rsidR="00000000" w:rsidDel="00000000" w:rsidP="00000000" w:rsidRDefault="00000000" w:rsidRPr="00000000" w14:paraId="00000005">
      <w:pPr>
        <w:spacing w:after="120" w:lineRule="auto"/>
        <w:rPr>
          <w:rFonts w:ascii="The Wave Sans TT" w:cs="The Wave Sans TT" w:eastAsia="The Wave Sans TT" w:hAnsi="The Wave Sans TT"/>
          <w:b w:val="1"/>
          <w:sz w:val="21"/>
          <w:szCs w:val="21"/>
        </w:rPr>
      </w:pPr>
      <w:bookmarkStart w:colFirst="0" w:colLast="0" w:name="_30j0zll" w:id="1"/>
      <w:bookmarkEnd w:id="1"/>
      <w:r w:rsidDel="00000000" w:rsidR="00000000" w:rsidRPr="00000000">
        <w:rPr>
          <w:rFonts w:ascii="The Wave Sans TT" w:cs="The Wave Sans TT" w:eastAsia="The Wave Sans TT" w:hAnsi="The Wave Sans TT"/>
          <w:b w:val="1"/>
          <w:sz w:val="21"/>
          <w:szCs w:val="21"/>
          <w:rtl w:val="0"/>
        </w:rPr>
        <w:t xml:space="preserve">Ισχυρή κερδοφορία λόγω θετικού περιβάλλοντος διύλισης, λειτουργικής απόδοσης και υψηλών εξαγωγών – Συνεχής πρόοδος στην υλοποίηση των στρατηγικών πρωτοβουλιών</w:t>
      </w:r>
    </w:p>
    <w:p w:rsidR="00000000" w:rsidDel="00000000" w:rsidP="00000000" w:rsidRDefault="00000000" w:rsidRPr="00000000" w14:paraId="00000006">
      <w:pPr>
        <w:spacing w:after="120" w:lineRule="auto"/>
        <w:rPr>
          <w:rFonts w:ascii="The Wave Sans TT" w:cs="The Wave Sans TT" w:eastAsia="The Wave Sans TT" w:hAnsi="The Wave Sans TT"/>
          <w:sz w:val="21"/>
          <w:szCs w:val="21"/>
        </w:rPr>
      </w:pPr>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720" w:hanging="360"/>
        <w:rPr>
          <w:sz w:val="20"/>
          <w:szCs w:val="20"/>
        </w:rPr>
      </w:pPr>
      <w:r w:rsidDel="00000000" w:rsidR="00000000" w:rsidRPr="00000000">
        <w:rPr>
          <w:rFonts w:ascii="The Wave Sans TT" w:cs="The Wave Sans TT" w:eastAsia="The Wave Sans TT" w:hAnsi="The Wave Sans TT"/>
          <w:sz w:val="20"/>
          <w:szCs w:val="20"/>
          <w:rtl w:val="0"/>
        </w:rPr>
        <w:t xml:space="preserve">Θετικά λειτουργικά αποτελέσματα το Α’ τρίμηνο του 2024, σε ευνοϊκό διεθνές περιβάλλον διύλισης.</w:t>
      </w:r>
    </w:p>
    <w:p w:rsidR="00000000" w:rsidDel="00000000" w:rsidP="00000000" w:rsidRDefault="00000000" w:rsidRPr="00000000" w14:paraId="00000008">
      <w:pPr>
        <w:spacing w:after="0" w:line="240" w:lineRule="auto"/>
        <w:ind w:left="720" w:firstLine="0"/>
        <w:rPr>
          <w:rFonts w:ascii="The Wave Sans TT" w:cs="The Wave Sans TT" w:eastAsia="The Wave Sans TT" w:hAnsi="The Wave Sans TT"/>
          <w:sz w:val="20"/>
          <w:szCs w:val="20"/>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rPr>
          <w:sz w:val="20"/>
          <w:szCs w:val="20"/>
        </w:rPr>
      </w:pPr>
      <w:r w:rsidDel="00000000" w:rsidR="00000000" w:rsidRPr="00000000">
        <w:rPr>
          <w:rFonts w:ascii="The Wave Sans TT" w:cs="The Wave Sans TT" w:eastAsia="The Wave Sans TT" w:hAnsi="The Wave Sans TT"/>
          <w:sz w:val="20"/>
          <w:szCs w:val="20"/>
          <w:rtl w:val="0"/>
        </w:rPr>
        <w:t xml:space="preserve">Στα €338 εκατ. τα Συγκρίσιμα EBITDA και στα €179 εκατ. τα Δημοσιευμένα Καθαρά Κέρδη.</w:t>
      </w:r>
    </w:p>
    <w:p w:rsidR="00000000" w:rsidDel="00000000" w:rsidP="00000000" w:rsidRDefault="00000000" w:rsidRPr="00000000" w14:paraId="0000000A">
      <w:pPr>
        <w:spacing w:after="0" w:line="240" w:lineRule="auto"/>
        <w:ind w:left="720" w:firstLine="0"/>
        <w:rPr>
          <w:rFonts w:ascii="The Wave Sans TT" w:cs="The Wave Sans TT" w:eastAsia="The Wave Sans TT" w:hAnsi="The Wave Sans TT"/>
          <w:sz w:val="20"/>
          <w:szCs w:val="20"/>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720" w:hanging="360"/>
        <w:rPr>
          <w:sz w:val="20"/>
          <w:szCs w:val="20"/>
        </w:rPr>
      </w:pPr>
      <w:r w:rsidDel="00000000" w:rsidR="00000000" w:rsidRPr="00000000">
        <w:rPr>
          <w:rFonts w:ascii="The Wave Sans TT" w:cs="The Wave Sans TT" w:eastAsia="The Wave Sans TT" w:hAnsi="The Wave Sans TT"/>
          <w:sz w:val="20"/>
          <w:szCs w:val="20"/>
          <w:rtl w:val="0"/>
        </w:rPr>
        <w:t xml:space="preserve">Αύξηση παραγωγής και εξαγωγών στα υψηλότερα επίπεδα των τελευταίων ετών. </w:t>
      </w:r>
    </w:p>
    <w:p w:rsidR="00000000" w:rsidDel="00000000" w:rsidP="00000000" w:rsidRDefault="00000000" w:rsidRPr="00000000" w14:paraId="0000000C">
      <w:pPr>
        <w:spacing w:after="0" w:line="240" w:lineRule="auto"/>
        <w:ind w:left="720" w:firstLine="0"/>
        <w:rPr>
          <w:rFonts w:ascii="The Wave Sans TT" w:cs="The Wave Sans TT" w:eastAsia="The Wave Sans TT" w:hAnsi="The Wave Sans TT"/>
          <w:sz w:val="20"/>
          <w:szCs w:val="20"/>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rPr>
          <w:sz w:val="20"/>
          <w:szCs w:val="20"/>
        </w:rPr>
      </w:pPr>
      <w:r w:rsidDel="00000000" w:rsidR="00000000" w:rsidRPr="00000000">
        <w:rPr>
          <w:rFonts w:ascii="The Wave Sans TT" w:cs="The Wave Sans TT" w:eastAsia="The Wave Sans TT" w:hAnsi="The Wave Sans TT"/>
          <w:sz w:val="20"/>
          <w:szCs w:val="20"/>
          <w:rtl w:val="0"/>
        </w:rPr>
        <w:t xml:space="preserve">Επενδύσεις €93 εκατ. σε έργα ΑΠΕ και αναβάθμισης μονάδων.</w:t>
      </w:r>
    </w:p>
    <w:p w:rsidR="00000000" w:rsidDel="00000000" w:rsidP="00000000" w:rsidRDefault="00000000" w:rsidRPr="00000000" w14:paraId="0000000E">
      <w:pPr>
        <w:spacing w:after="0" w:line="240" w:lineRule="auto"/>
        <w:ind w:left="720" w:firstLine="0"/>
        <w:rPr>
          <w:rFonts w:ascii="The Wave Sans TT" w:cs="The Wave Sans TT" w:eastAsia="The Wave Sans TT" w:hAnsi="The Wave Sans TT"/>
          <w:sz w:val="20"/>
          <w:szCs w:val="20"/>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hanging="360"/>
        <w:rPr>
          <w:sz w:val="20"/>
          <w:szCs w:val="20"/>
        </w:rPr>
      </w:pPr>
      <w:r w:rsidDel="00000000" w:rsidR="00000000" w:rsidRPr="00000000">
        <w:rPr>
          <w:rFonts w:ascii="The Wave Sans TT" w:cs="The Wave Sans TT" w:eastAsia="The Wave Sans TT" w:hAnsi="The Wave Sans TT"/>
          <w:sz w:val="20"/>
          <w:szCs w:val="20"/>
          <w:rtl w:val="0"/>
        </w:rPr>
        <w:t xml:space="preserve">Απρόσκοπτη υλοποίηση του στρατηγικού σχεδιασμού, με έμφαση στην ανάπτυξη δραστηριοτήτων εκτός Ελλάδος. </w:t>
      </w:r>
    </w:p>
    <w:p w:rsidR="00000000" w:rsidDel="00000000" w:rsidP="00000000" w:rsidRDefault="00000000" w:rsidRPr="00000000" w14:paraId="00000010">
      <w:pPr>
        <w:spacing w:after="0" w:line="240" w:lineRule="auto"/>
        <w:ind w:left="720" w:firstLine="0"/>
        <w:rPr>
          <w:rFonts w:ascii="The Wave Sans TT" w:cs="The Wave Sans TT" w:eastAsia="The Wave Sans TT" w:hAnsi="The Wave Sans TT"/>
          <w:sz w:val="20"/>
          <w:szCs w:val="20"/>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rPr>
          <w:sz w:val="20"/>
          <w:szCs w:val="20"/>
        </w:rPr>
      </w:pPr>
      <w:r w:rsidDel="00000000" w:rsidR="00000000" w:rsidRPr="00000000">
        <w:rPr>
          <w:rFonts w:ascii="The Wave Sans TT" w:cs="The Wave Sans TT" w:eastAsia="The Wave Sans TT" w:hAnsi="The Wave Sans TT"/>
          <w:sz w:val="20"/>
          <w:szCs w:val="20"/>
          <w:rtl w:val="0"/>
        </w:rPr>
        <w:t xml:space="preserve">Ωρίμανση και διεύρυνση του χαρτοφυλακίου έργων ΑΠΕ. Στα 381 MW η εγκατεστημένη ισχύς και 0,7 GW σε προχωρημένο στάδιο ανάπτυξης. </w:t>
      </w:r>
    </w:p>
    <w:p w:rsidR="00000000" w:rsidDel="00000000" w:rsidP="00000000" w:rsidRDefault="00000000" w:rsidRPr="00000000" w14:paraId="00000012">
      <w:pPr>
        <w:spacing w:after="0" w:line="240" w:lineRule="auto"/>
        <w:ind w:left="720" w:firstLine="0"/>
        <w:rPr>
          <w:rFonts w:ascii="The Wave Sans TT" w:cs="The Wave Sans TT" w:eastAsia="The Wave Sans TT" w:hAnsi="The Wave Sans TT"/>
          <w:sz w:val="20"/>
          <w:szCs w:val="20"/>
        </w:rPr>
      </w:pP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720" w:hanging="360"/>
        <w:rPr>
          <w:sz w:val="20"/>
          <w:szCs w:val="20"/>
        </w:rPr>
      </w:pPr>
      <w:r w:rsidDel="00000000" w:rsidR="00000000" w:rsidRPr="00000000">
        <w:rPr>
          <w:rFonts w:ascii="The Wave Sans TT" w:cs="The Wave Sans TT" w:eastAsia="The Wave Sans TT" w:hAnsi="The Wave Sans TT"/>
          <w:sz w:val="20"/>
          <w:szCs w:val="20"/>
          <w:rtl w:val="0"/>
        </w:rPr>
        <w:t xml:space="preserve">Λειτουργία της ΕΚΟ Energy Κύπρου, ως πρώτου ολοκληρωμένου ενεργειακού παρόχου που αξιοποιεί παραγωγή ηλεκτρικής ενέργειας από ΑΠΕ.</w:t>
      </w:r>
    </w:p>
    <w:p w:rsidR="00000000" w:rsidDel="00000000" w:rsidP="00000000" w:rsidRDefault="00000000" w:rsidRPr="00000000" w14:paraId="00000014">
      <w:pPr>
        <w:spacing w:after="0" w:line="240" w:lineRule="auto"/>
        <w:ind w:left="720" w:firstLine="0"/>
        <w:rPr>
          <w:rFonts w:ascii="The Wave Sans TT" w:cs="The Wave Sans TT" w:eastAsia="The Wave Sans TT" w:hAnsi="The Wave Sans TT"/>
          <w:sz w:val="20"/>
          <w:szCs w:val="20"/>
        </w:rPr>
      </w:pP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rPr>
          <w:sz w:val="20"/>
          <w:szCs w:val="20"/>
        </w:rPr>
      </w:pPr>
      <w:r w:rsidDel="00000000" w:rsidR="00000000" w:rsidRPr="00000000">
        <w:rPr>
          <w:rFonts w:ascii="The Wave Sans TT" w:cs="The Wave Sans TT" w:eastAsia="The Wave Sans TT" w:hAnsi="The Wave Sans TT"/>
          <w:sz w:val="20"/>
          <w:szCs w:val="20"/>
          <w:rtl w:val="0"/>
        </w:rPr>
        <w:t xml:space="preserve">Περαιτέρω ισχυροποίηση ισολογισμού και αναχρηματοδότηση δανεισμού συνολικού ύψους €1 δισ., με ιδιαίτερα ελκυστικούς όρους.</w:t>
      </w:r>
    </w:p>
    <w:p w:rsidR="00000000" w:rsidDel="00000000" w:rsidP="00000000" w:rsidRDefault="00000000" w:rsidRPr="00000000" w14:paraId="00000016">
      <w:pPr>
        <w:spacing w:after="0"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after="120" w:lineRule="auto"/>
        <w:rPr>
          <w:rFonts w:ascii="The Wave Sans TT" w:cs="The Wave Sans TT" w:eastAsia="The Wave Sans TT" w:hAnsi="The Wave Sans TT"/>
          <w:sz w:val="20"/>
          <w:szCs w:val="20"/>
        </w:rPr>
      </w:pPr>
      <w:r w:rsidDel="00000000" w:rsidR="00000000" w:rsidRPr="00000000">
        <w:rPr>
          <w:rtl w:val="0"/>
        </w:rPr>
      </w:r>
    </w:p>
    <w:p w:rsidR="00000000" w:rsidDel="00000000" w:rsidP="00000000" w:rsidRDefault="00000000" w:rsidRPr="00000000" w14:paraId="00000018">
      <w:pPr>
        <w:spacing w:after="120" w:lineRule="auto"/>
        <w:rPr>
          <w:rFonts w:ascii="The Wave Sans TT" w:cs="The Wave Sans TT" w:eastAsia="The Wave Sans TT" w:hAnsi="The Wave Sans TT"/>
          <w:sz w:val="21"/>
          <w:szCs w:val="21"/>
        </w:rPr>
      </w:pPr>
      <w:r w:rsidDel="00000000" w:rsidR="00000000" w:rsidRPr="00000000">
        <w:rPr>
          <w:rFonts w:ascii="The Wave Sans TT" w:cs="The Wave Sans TT" w:eastAsia="The Wave Sans TT" w:hAnsi="The Wave Sans TT"/>
          <w:sz w:val="21"/>
          <w:szCs w:val="21"/>
          <w:rtl w:val="0"/>
        </w:rPr>
        <w:t xml:space="preserve">Η HELLENiQ ENERGY Holdings Α.Ε. («Εταιρεία») ανακοίνωσε τα ενοποιημένα οικονομικά αποτελέσματα Α' Τριμήνου 2024, με τα </w:t>
      </w:r>
      <w:r w:rsidDel="00000000" w:rsidR="00000000" w:rsidRPr="00000000">
        <w:rPr>
          <w:rFonts w:ascii="The Wave Sans TT" w:cs="The Wave Sans TT" w:eastAsia="The Wave Sans TT" w:hAnsi="The Wave Sans TT"/>
          <w:b w:val="1"/>
          <w:sz w:val="21"/>
          <w:szCs w:val="21"/>
          <w:rtl w:val="0"/>
        </w:rPr>
        <w:t xml:space="preserve">Συγκρίσιμα Κέρδη EBITDA να διαμορφώνονται στα €338 εκατ. και τα Συγκρίσιμα Καθαρά Κέρδη στα €164 εκατ..</w:t>
      </w:r>
      <w:r w:rsidDel="00000000" w:rsidR="00000000" w:rsidRPr="00000000">
        <w:rPr>
          <w:rFonts w:ascii="The Wave Sans TT" w:cs="The Wave Sans TT" w:eastAsia="The Wave Sans TT" w:hAnsi="The Wave Sans TT"/>
          <w:sz w:val="21"/>
          <w:szCs w:val="21"/>
          <w:rtl w:val="0"/>
        </w:rPr>
        <w:t xml:space="preserve"> </w:t>
      </w:r>
    </w:p>
    <w:p w:rsidR="00000000" w:rsidDel="00000000" w:rsidP="00000000" w:rsidRDefault="00000000" w:rsidRPr="00000000" w14:paraId="00000019">
      <w:pPr>
        <w:spacing w:after="120" w:lineRule="auto"/>
        <w:rPr>
          <w:rFonts w:ascii="The Wave Sans TT" w:cs="The Wave Sans TT" w:eastAsia="The Wave Sans TT" w:hAnsi="The Wave Sans TT"/>
          <w:sz w:val="21"/>
          <w:szCs w:val="21"/>
        </w:rPr>
      </w:pPr>
      <w:r w:rsidDel="00000000" w:rsidR="00000000" w:rsidRPr="00000000">
        <w:rPr>
          <w:rFonts w:ascii="The Wave Sans TT" w:cs="The Wave Sans TT" w:eastAsia="The Wave Sans TT" w:hAnsi="The Wave Sans TT"/>
          <w:sz w:val="21"/>
          <w:szCs w:val="21"/>
          <w:rtl w:val="0"/>
        </w:rPr>
        <w:t xml:space="preserve">Τα Δημοσιευμένα Κέρδη EBITDA διαμορφώθηκαν στα €350 εκατ., με τα Δημοσιευμένα Καθαρά Κέρδη να ανέρχονται στα €179 εκατ., καταγράφοντας αύξηση σε σχέση με το Α’ Τρίμηνο 2023, κυρίως λόγω της επίπτωσης επίδρασης των διεθνών τιμών στην αποτίμηση αποθεμάτων.</w:t>
      </w:r>
    </w:p>
    <w:p w:rsidR="00000000" w:rsidDel="00000000" w:rsidP="00000000" w:rsidRDefault="00000000" w:rsidRPr="00000000" w14:paraId="0000001A">
      <w:pPr>
        <w:spacing w:after="120" w:lineRule="auto"/>
        <w:rPr>
          <w:rFonts w:ascii="The Wave Sans TT" w:cs="The Wave Sans TT" w:eastAsia="The Wave Sans TT" w:hAnsi="The Wave Sans TT"/>
          <w:sz w:val="21"/>
          <w:szCs w:val="21"/>
        </w:rPr>
      </w:pPr>
      <w:r w:rsidDel="00000000" w:rsidR="00000000" w:rsidRPr="00000000">
        <w:rPr>
          <w:rFonts w:ascii="The Wave Sans TT" w:cs="The Wave Sans TT" w:eastAsia="The Wave Sans TT" w:hAnsi="The Wave Sans TT"/>
          <w:sz w:val="21"/>
          <w:szCs w:val="21"/>
          <w:rtl w:val="0"/>
        </w:rPr>
        <w:t xml:space="preserve">Τα αποτελέσματα επηρεάστηκαν κυρίως από το θετικό διεθνές περιβάλλον διύλισης, την αποτελεσματική λειτουργία των διυλιστηρίων, με αυξημένη διαθεσιμότητα μονάδων, τις ιδιαίτερα υψηλές εξαγωγές, στο ανώτατο επίπεδο των τελευταίων 3 ετών, καθώς και τη βελτιωμένη συνεισφορά από τους κλάδους πετροχημικών και ΑΠΕ.</w:t>
      </w:r>
    </w:p>
    <w:p w:rsidR="00000000" w:rsidDel="00000000" w:rsidP="00000000" w:rsidRDefault="00000000" w:rsidRPr="00000000" w14:paraId="0000001B">
      <w:pPr>
        <w:spacing w:after="120" w:lineRule="auto"/>
        <w:rPr>
          <w:rFonts w:ascii="The Wave Sans TT" w:cs="The Wave Sans TT" w:eastAsia="The Wave Sans TT" w:hAnsi="The Wave Sans TT"/>
          <w:sz w:val="21"/>
          <w:szCs w:val="21"/>
        </w:rPr>
      </w:pPr>
      <w:r w:rsidDel="00000000" w:rsidR="00000000" w:rsidRPr="00000000">
        <w:rPr>
          <w:rFonts w:ascii="The Wave Sans TT" w:cs="The Wave Sans TT" w:eastAsia="The Wave Sans TT" w:hAnsi="The Wave Sans TT"/>
          <w:sz w:val="21"/>
          <w:szCs w:val="21"/>
          <w:rtl w:val="0"/>
        </w:rPr>
        <w:t xml:space="preserve">Η παραγωγή προϊόντων για το Α’ Τρίμηνο 2024 αυξήθηκε κατά 5% στους 3,8 εκατ. τόνους, σημειώνοντας την καλύτερη επίδοση από το Α’ Τρίμηνο 2020. Η εξέλιξη αυτή οδήγησε σε αύξηση πωλήσεων σε όλες τις αγορές, που διαμορφώθηκαν στους 4 εκατ. τόνους (+8%), με τις εξαγωγές να αντιστοιχούν στο 62% των συνολικών όγκων. </w:t>
      </w:r>
    </w:p>
    <w:p w:rsidR="00000000" w:rsidDel="00000000" w:rsidP="00000000" w:rsidRDefault="00000000" w:rsidRPr="00000000" w14:paraId="0000001C">
      <w:pPr>
        <w:keepNext w:val="1"/>
        <w:spacing w:after="120" w:lineRule="auto"/>
        <w:rPr>
          <w:rFonts w:ascii="The Wave Sans TT" w:cs="The Wave Sans TT" w:eastAsia="The Wave Sans TT" w:hAnsi="The Wave Sans TT"/>
          <w:b w:val="1"/>
          <w:sz w:val="21"/>
          <w:szCs w:val="21"/>
        </w:rPr>
      </w:pPr>
      <w:r w:rsidDel="00000000" w:rsidR="00000000" w:rsidRPr="00000000">
        <w:rPr>
          <w:rFonts w:ascii="The Wave Sans TT" w:cs="The Wave Sans TT" w:eastAsia="The Wave Sans TT" w:hAnsi="The Wave Sans TT"/>
          <w:b w:val="1"/>
          <w:sz w:val="21"/>
          <w:szCs w:val="21"/>
          <w:rtl w:val="0"/>
        </w:rPr>
        <w:t xml:space="preserve">Υλοποίηση Στρατηγικής</w:t>
      </w:r>
    </w:p>
    <w:p w:rsidR="00000000" w:rsidDel="00000000" w:rsidP="00000000" w:rsidRDefault="00000000" w:rsidRPr="00000000" w14:paraId="0000001D">
      <w:pPr>
        <w:widowControl w:val="0"/>
        <w:spacing w:after="120" w:lineRule="auto"/>
        <w:ind w:right="23"/>
        <w:rPr>
          <w:rFonts w:ascii="The Wave Sans TT" w:cs="The Wave Sans TT" w:eastAsia="The Wave Sans TT" w:hAnsi="The Wave Sans TT"/>
          <w:color w:val="000000"/>
          <w:sz w:val="21"/>
          <w:szCs w:val="21"/>
        </w:rPr>
      </w:pPr>
      <w:r w:rsidDel="00000000" w:rsidR="00000000" w:rsidRPr="00000000">
        <w:rPr>
          <w:rFonts w:ascii="The Wave Sans TT" w:cs="The Wave Sans TT" w:eastAsia="The Wave Sans TT" w:hAnsi="The Wave Sans TT"/>
          <w:color w:val="000000"/>
          <w:sz w:val="21"/>
          <w:szCs w:val="21"/>
          <w:rtl w:val="0"/>
        </w:rPr>
        <w:t xml:space="preserve">Κατά τη διάρκεια του Α’ Τριμήνου 2024, ο Όμιλος συνέχισε να υλοποιεί τη στρατηγική του σε όλες τις δραστηριότητες, με πρωτοβουλίες που συνεισφέρουν μεσοπρόθεσμα στην ενίσχυση της κερδοφορίας, αλλά και στη βελτίωση του περιβαλλοντικού αποτυπώματος.</w:t>
      </w:r>
    </w:p>
    <w:p w:rsidR="00000000" w:rsidDel="00000000" w:rsidP="00000000" w:rsidRDefault="00000000" w:rsidRPr="00000000" w14:paraId="0000001E">
      <w:pPr>
        <w:widowControl w:val="0"/>
        <w:spacing w:after="120" w:lineRule="auto"/>
        <w:ind w:right="23"/>
        <w:rPr>
          <w:rFonts w:ascii="The Wave Sans TT" w:cs="The Wave Sans TT" w:eastAsia="The Wave Sans TT" w:hAnsi="The Wave Sans TT"/>
          <w:color w:val="000000"/>
          <w:sz w:val="21"/>
          <w:szCs w:val="21"/>
        </w:rPr>
      </w:pPr>
      <w:r w:rsidDel="00000000" w:rsidR="00000000" w:rsidRPr="00000000">
        <w:rPr>
          <w:rFonts w:ascii="The Wave Sans TT" w:cs="The Wave Sans TT" w:eastAsia="The Wave Sans TT" w:hAnsi="The Wave Sans TT"/>
          <w:b w:val="1"/>
          <w:color w:val="000000"/>
          <w:sz w:val="21"/>
          <w:szCs w:val="21"/>
          <w:rtl w:val="0"/>
        </w:rPr>
        <w:t xml:space="preserve">Στον κλάδο της Διύλισης και Πετροχημικών</w:t>
      </w:r>
      <w:r w:rsidDel="00000000" w:rsidR="00000000" w:rsidRPr="00000000">
        <w:rPr>
          <w:rFonts w:ascii="The Wave Sans TT" w:cs="The Wave Sans TT" w:eastAsia="The Wave Sans TT" w:hAnsi="The Wave Sans TT"/>
          <w:color w:val="000000"/>
          <w:sz w:val="21"/>
          <w:szCs w:val="21"/>
          <w:rtl w:val="0"/>
        </w:rPr>
        <w:t xml:space="preserve">, επικεντρωνόμαστε στην περαιτέρω </w:t>
      </w:r>
      <w:r w:rsidDel="00000000" w:rsidR="00000000" w:rsidRPr="00000000">
        <w:rPr>
          <w:rFonts w:ascii="The Wave Sans TT" w:cs="The Wave Sans TT" w:eastAsia="The Wave Sans TT" w:hAnsi="The Wave Sans TT"/>
          <w:b w:val="1"/>
          <w:color w:val="000000"/>
          <w:sz w:val="21"/>
          <w:szCs w:val="21"/>
          <w:rtl w:val="0"/>
        </w:rPr>
        <w:t xml:space="preserve">λειτουργική αριστοποίηση, καθώς και στη μείωση των εκπομπών διοξειδίου του άνθρακα, </w:t>
      </w:r>
      <w:r w:rsidDel="00000000" w:rsidR="00000000" w:rsidRPr="00000000">
        <w:rPr>
          <w:rFonts w:ascii="The Wave Sans TT" w:cs="The Wave Sans TT" w:eastAsia="The Wave Sans TT" w:hAnsi="The Wave Sans TT"/>
          <w:color w:val="000000"/>
          <w:sz w:val="21"/>
          <w:szCs w:val="21"/>
          <w:rtl w:val="0"/>
        </w:rPr>
        <w:t xml:space="preserve">με έργα που συμβάλλουν στην ενεργειακή αυτονομία και εξοικονόμηση ενέργειας, παράλληλα με την αξιοποίηση τεχνολογιών δέσμευσης, αποθήκευσης και επαναχρησιμοποίησης CO</w:t>
      </w:r>
      <w:r w:rsidDel="00000000" w:rsidR="00000000" w:rsidRPr="00000000">
        <w:rPr>
          <w:rFonts w:ascii="The Wave Sans TT" w:cs="The Wave Sans TT" w:eastAsia="The Wave Sans TT" w:hAnsi="The Wave Sans TT"/>
          <w:color w:val="000000"/>
          <w:sz w:val="21"/>
          <w:szCs w:val="21"/>
          <w:vertAlign w:val="subscript"/>
          <w:rtl w:val="0"/>
        </w:rPr>
        <w:t xml:space="preserve">2</w:t>
      </w:r>
      <w:r w:rsidDel="00000000" w:rsidR="00000000" w:rsidRPr="00000000">
        <w:rPr>
          <w:rFonts w:ascii="The Wave Sans TT" w:cs="The Wave Sans TT" w:eastAsia="The Wave Sans TT" w:hAnsi="The Wave Sans TT"/>
          <w:color w:val="000000"/>
          <w:sz w:val="21"/>
          <w:szCs w:val="21"/>
          <w:rtl w:val="0"/>
        </w:rPr>
        <w:t xml:space="preserve">. Ταυτόχρονα, βρίσκεται σε πλήρη εξέλιξη η επέκταση του εργοστασίου παραγωγής πολυπροπυλενίου. Όσον αφορά στις διεργασίες για εναλλακτικά καύσιμα</w:t>
      </w:r>
      <w:r w:rsidDel="00000000" w:rsidR="00000000" w:rsidRPr="00000000">
        <w:rPr>
          <w:rFonts w:ascii="The Wave Sans TT" w:cs="The Wave Sans TT" w:eastAsia="The Wave Sans TT" w:hAnsi="The Wave Sans TT"/>
          <w:sz w:val="21"/>
          <w:szCs w:val="21"/>
          <w:rtl w:val="0"/>
        </w:rPr>
        <w:t xml:space="preserve"> χ</w:t>
      </w:r>
      <w:r w:rsidDel="00000000" w:rsidR="00000000" w:rsidRPr="00000000">
        <w:rPr>
          <w:rFonts w:ascii="The Wave Sans TT" w:cs="The Wave Sans TT" w:eastAsia="The Wave Sans TT" w:hAnsi="The Wave Sans TT"/>
          <w:color w:val="000000"/>
          <w:sz w:val="21"/>
          <w:szCs w:val="21"/>
          <w:rtl w:val="0"/>
        </w:rPr>
        <w:t xml:space="preserve">αμηλού ανθρακικού αποτυπώματος, αναπτύσσεται μονάδα συμπαραγωγής Υδρογονωμένου Φυτικού Ελαίου (Hydrotreated Vegetable Oil, HVO) και, ταυτόχρονα, εξετάζονται επενδύσεις σε παραγωγή Βιώσιμου Αεροπορικού Καυσίμου (Sustainable Aviation Fuel, SAF), καθώς και πράσινου υδρογόνου και συνθετικών καυσίμων. </w:t>
      </w:r>
    </w:p>
    <w:p w:rsidR="00000000" w:rsidDel="00000000" w:rsidP="00000000" w:rsidRDefault="00000000" w:rsidRPr="00000000" w14:paraId="0000001F">
      <w:pPr>
        <w:widowControl w:val="0"/>
        <w:spacing w:after="120" w:lineRule="auto"/>
        <w:ind w:right="23"/>
        <w:rPr>
          <w:rFonts w:ascii="The Wave Sans TT" w:cs="The Wave Sans TT" w:eastAsia="The Wave Sans TT" w:hAnsi="The Wave Sans TT"/>
          <w:color w:val="ff0000"/>
          <w:sz w:val="21"/>
          <w:szCs w:val="21"/>
        </w:rPr>
      </w:pPr>
      <w:r w:rsidDel="00000000" w:rsidR="00000000" w:rsidRPr="00000000">
        <w:rPr>
          <w:rFonts w:ascii="The Wave Sans TT" w:cs="The Wave Sans TT" w:eastAsia="The Wave Sans TT" w:hAnsi="The Wave Sans TT"/>
          <w:b w:val="1"/>
          <w:sz w:val="21"/>
          <w:szCs w:val="21"/>
          <w:rtl w:val="0"/>
        </w:rPr>
        <w:t xml:space="preserve">Στη λιανική Εμπορία</w:t>
      </w:r>
      <w:r w:rsidDel="00000000" w:rsidR="00000000" w:rsidRPr="00000000">
        <w:rPr>
          <w:rFonts w:ascii="The Wave Sans TT" w:cs="The Wave Sans TT" w:eastAsia="The Wave Sans TT" w:hAnsi="The Wave Sans TT"/>
          <w:sz w:val="21"/>
          <w:szCs w:val="21"/>
          <w:rtl w:val="0"/>
        </w:rPr>
        <w:t xml:space="preserve">, στοχεύουμε στην </w:t>
      </w:r>
      <w:r w:rsidDel="00000000" w:rsidR="00000000" w:rsidRPr="00000000">
        <w:rPr>
          <w:rFonts w:ascii="The Wave Sans TT" w:cs="The Wave Sans TT" w:eastAsia="The Wave Sans TT" w:hAnsi="The Wave Sans TT"/>
          <w:b w:val="1"/>
          <w:sz w:val="21"/>
          <w:szCs w:val="21"/>
          <w:rtl w:val="0"/>
        </w:rPr>
        <w:t xml:space="preserve">αναβάθμιση των συνολικών υπηρεσιών, με την αξιοποίηση του εκτεταμένου δικτύου και των σύγχρονων τεχνολογιών</w:t>
      </w:r>
      <w:r w:rsidDel="00000000" w:rsidR="00000000" w:rsidRPr="00000000">
        <w:rPr>
          <w:rFonts w:ascii="The Wave Sans TT" w:cs="The Wave Sans TT" w:eastAsia="The Wave Sans TT" w:hAnsi="The Wave Sans TT"/>
          <w:sz w:val="21"/>
          <w:szCs w:val="21"/>
          <w:rtl w:val="0"/>
        </w:rPr>
        <w:t xml:space="preserve">. Η έμφαση δίνεται στον εξορθολογισμό τού δικτύου στην εσωτερική αγορά, με αύξηση του ποσοστού των ιδιολειτουργούμενων πρατηρίων, καθώς και στη στοχευμένη επέκταση του δικτύου στο εξωτερικό. Ταυτόχρονα, επιδιώκεται περαιτέρω βελτίωση του μείγματος πωλήσεων, με αυξημένη συνεισφορά των διαφοροποιημένων καυσίμων κίνησης και των πωλήσεων μη πετρελαιοειδών, ήδη, με εμφανή αποτελέσματα. </w:t>
      </w:r>
      <w:r w:rsidDel="00000000" w:rsidR="00000000" w:rsidRPr="00000000">
        <w:rPr>
          <w:rtl w:val="0"/>
        </w:rPr>
      </w:r>
    </w:p>
    <w:p w:rsidR="00000000" w:rsidDel="00000000" w:rsidP="00000000" w:rsidRDefault="00000000" w:rsidRPr="00000000" w14:paraId="00000020">
      <w:pPr>
        <w:widowControl w:val="0"/>
        <w:spacing w:after="120" w:lineRule="auto"/>
        <w:ind w:right="23"/>
        <w:rPr>
          <w:rFonts w:ascii="The Wave Sans TT" w:cs="The Wave Sans TT" w:eastAsia="The Wave Sans TT" w:hAnsi="The Wave Sans TT"/>
          <w:sz w:val="21"/>
          <w:szCs w:val="21"/>
        </w:rPr>
      </w:pPr>
      <w:r w:rsidDel="00000000" w:rsidR="00000000" w:rsidRPr="00000000">
        <w:rPr>
          <w:rFonts w:ascii="The Wave Sans TT" w:cs="The Wave Sans TT" w:eastAsia="The Wave Sans TT" w:hAnsi="The Wave Sans TT"/>
          <w:sz w:val="21"/>
          <w:szCs w:val="21"/>
          <w:rtl w:val="0"/>
        </w:rPr>
        <w:t xml:space="preserve">Πρόσφατα, εξάλλου, ξεκίνησε η εμπορική λειτουργία της </w:t>
      </w:r>
      <w:r w:rsidDel="00000000" w:rsidR="00000000" w:rsidRPr="00000000">
        <w:rPr>
          <w:rFonts w:ascii="The Wave Sans TT" w:cs="The Wave Sans TT" w:eastAsia="The Wave Sans TT" w:hAnsi="The Wave Sans TT"/>
          <w:b w:val="1"/>
          <w:sz w:val="21"/>
          <w:szCs w:val="21"/>
          <w:rtl w:val="0"/>
        </w:rPr>
        <w:t xml:space="preserve">ΕΚΟ Energy στην Κύπρο</w:t>
      </w:r>
      <w:r w:rsidDel="00000000" w:rsidR="00000000" w:rsidRPr="00000000">
        <w:rPr>
          <w:rFonts w:ascii="The Wave Sans TT" w:cs="The Wave Sans TT" w:eastAsia="The Wave Sans TT" w:hAnsi="The Wave Sans TT"/>
          <w:sz w:val="21"/>
          <w:szCs w:val="21"/>
          <w:rtl w:val="0"/>
        </w:rPr>
        <w:t xml:space="preserve">, η οποία επεκτείνει την ήδη πετυχημένη παρουσία του Ομίλου στη συγκεκριμένη χώρα. Φιλοδοξεί να καλύψει το σύνολο των ενεργειακών αναγκών για επιλεγμένους εμπορικούς και βιομηχανικούς καταναλωτές, ως ο πρώτος ολοκληρωμένος και καθετοποιημένος ενεργειακός πάροχος στην Κύπρο. Η ΕΚΟ Energy Κύπρου, εκμεταλλευόμενη παράλληλα το ηγετικό μερίδιο στην αγορά καυσίμων της ΕΚΟ Κύπρου μέσω εκτεταμένου δικτύου πρατηρίων, διευρύνει το προσφερόμενο χαρτοφυλάκιο προϊόντων, αξιοποιώντας την παραγωγή ηλεκτρικής ενέργειας από ΑΠΕ. Η συνολική ισχύς των εν λειτουργία έργων ΑΠΕ του Ομίλου στην Κύπρο αποτελεί το 15% του δυναμικού των φωτοβολταϊκών πάρκων που συμμετέχουν στην αγορά ηλεκτρισμού, ενώ αναμένεται να αυξηθεί τα επόμενα έτη.</w:t>
      </w:r>
    </w:p>
    <w:p w:rsidR="00000000" w:rsidDel="00000000" w:rsidP="00000000" w:rsidRDefault="00000000" w:rsidRPr="00000000" w14:paraId="00000021">
      <w:pPr>
        <w:widowControl w:val="0"/>
        <w:spacing w:after="120" w:lineRule="auto"/>
        <w:ind w:right="23"/>
        <w:rPr>
          <w:rFonts w:ascii="The Wave Sans TT" w:cs="The Wave Sans TT" w:eastAsia="The Wave Sans TT" w:hAnsi="The Wave Sans TT"/>
          <w:b w:val="1"/>
          <w:sz w:val="21"/>
          <w:szCs w:val="21"/>
        </w:rPr>
      </w:pPr>
      <w:bookmarkStart w:colFirst="0" w:colLast="0" w:name="_1fob9te" w:id="2"/>
      <w:bookmarkEnd w:id="2"/>
      <w:r w:rsidDel="00000000" w:rsidR="00000000" w:rsidRPr="00000000">
        <w:rPr>
          <w:rFonts w:ascii="The Wave Sans TT" w:cs="The Wave Sans TT" w:eastAsia="The Wave Sans TT" w:hAnsi="The Wave Sans TT"/>
          <w:b w:val="1"/>
          <w:sz w:val="21"/>
          <w:szCs w:val="21"/>
          <w:rtl w:val="0"/>
        </w:rPr>
        <w:t xml:space="preserve">Αναλυτικότερα, στον τομέα των ΑΠΕ</w:t>
      </w:r>
      <w:r w:rsidDel="00000000" w:rsidR="00000000" w:rsidRPr="00000000">
        <w:rPr>
          <w:rFonts w:ascii="The Wave Sans TT" w:cs="The Wave Sans TT" w:eastAsia="The Wave Sans TT" w:hAnsi="The Wave Sans TT"/>
          <w:sz w:val="21"/>
          <w:szCs w:val="21"/>
          <w:rtl w:val="0"/>
        </w:rPr>
        <w:t xml:space="preserve"> η HELLENiQ RENEWABLES συνεχίζει τη διεύρυνση του χαρτοφυλακίου της αυξάνοντας στο τέλος του Α’ Τριμήνου 2024 τη συνολική εγκατεστημένη ισχύ σε 381 MW. Επιπρόσθετα έργα 0,7 GW βρίσκονται υπό κατασκευή, ή σε προχωρημένο στάδιο ανάπτυξης. Επισημαίνεται ότι </w:t>
      </w:r>
      <w:r w:rsidDel="00000000" w:rsidR="00000000" w:rsidRPr="00000000">
        <w:rPr>
          <w:rFonts w:ascii="The Wave Sans TT" w:cs="The Wave Sans TT" w:eastAsia="The Wave Sans TT" w:hAnsi="The Wave Sans TT"/>
          <w:b w:val="1"/>
          <w:sz w:val="21"/>
          <w:szCs w:val="21"/>
          <w:rtl w:val="0"/>
        </w:rPr>
        <w:t xml:space="preserve">το συνολικό χαρτοφυλάκιο έργων υπό ανάπτυξη ανέρχεται σε 4,3 GW</w:t>
      </w:r>
      <w:r w:rsidDel="00000000" w:rsidR="00000000" w:rsidRPr="00000000">
        <w:rPr>
          <w:rFonts w:ascii="The Wave Sans TT" w:cs="The Wave Sans TT" w:eastAsia="The Wave Sans TT" w:hAnsi="The Wave Sans TT"/>
          <w:sz w:val="21"/>
          <w:szCs w:val="21"/>
          <w:rtl w:val="0"/>
        </w:rPr>
        <w:t xml:space="preserve">. Στόχος είναι η λειτουργία έργων ΑΠΕ</w:t>
      </w:r>
      <w:r w:rsidDel="00000000" w:rsidR="00000000" w:rsidRPr="00000000">
        <w:rPr>
          <w:rFonts w:ascii="The Wave Sans TT" w:cs="The Wave Sans TT" w:eastAsia="The Wave Sans TT" w:hAnsi="The Wave Sans TT"/>
          <w:b w:val="1"/>
          <w:sz w:val="21"/>
          <w:szCs w:val="21"/>
          <w:rtl w:val="0"/>
        </w:rPr>
        <w:t xml:space="preserve"> ισχύος τουλάχιστον 1 GW μέχρι το 2025 και άνω των 2 GW μέχρι το 2030.</w:t>
      </w:r>
    </w:p>
    <w:p w:rsidR="00000000" w:rsidDel="00000000" w:rsidP="00000000" w:rsidRDefault="00000000" w:rsidRPr="00000000" w14:paraId="00000022">
      <w:pPr>
        <w:widowControl w:val="0"/>
        <w:spacing w:after="120" w:lineRule="auto"/>
        <w:ind w:right="23"/>
        <w:rPr>
          <w:rFonts w:ascii="The Wave Sans TT" w:cs="The Wave Sans TT" w:eastAsia="The Wave Sans TT" w:hAnsi="The Wave Sans TT"/>
          <w:sz w:val="21"/>
          <w:szCs w:val="21"/>
        </w:rPr>
      </w:pPr>
      <w:r w:rsidDel="00000000" w:rsidR="00000000" w:rsidRPr="00000000">
        <w:rPr>
          <w:rFonts w:ascii="The Wave Sans TT" w:cs="The Wave Sans TT" w:eastAsia="The Wave Sans TT" w:hAnsi="The Wave Sans TT"/>
          <w:b w:val="1"/>
          <w:sz w:val="21"/>
          <w:szCs w:val="21"/>
          <w:rtl w:val="0"/>
        </w:rPr>
        <w:t xml:space="preserve">Στον τομέα της Έρευνας και Παραγωγής Υδρογονανθράκων,</w:t>
      </w:r>
      <w:r w:rsidDel="00000000" w:rsidR="00000000" w:rsidRPr="00000000">
        <w:rPr>
          <w:rFonts w:ascii="The Wave Sans TT" w:cs="The Wave Sans TT" w:eastAsia="The Wave Sans TT" w:hAnsi="The Wave Sans TT"/>
          <w:sz w:val="21"/>
          <w:szCs w:val="21"/>
          <w:rtl w:val="0"/>
        </w:rPr>
        <w:t xml:space="preserve"> ολοκληρώθηκε η επεξεργασία των δεδομένων από τις τρισδιάστατες (3D) γεωφυσικές καταγραφές σε 3 θαλάσσιες περιοχές («Ιόνιο», «Block 2», «Block 10»), καθώς και από τις δισδιάστατες (2D) καταγραφές που είχαν πραγματοποιηθεί σε 2 θαλάσσιες περιοχές στην Κρήτη, με την ερμηνεία τους να βρίσκεται σε εξέλιξη. Στη θαλάσσια περιοχή «Νοτιοδυτικά Κρήτης», ολοκληρώθηκαν, επίσης, τρισδιάστατες γεωφυσικές καταγραφές και θα ακολουθήσει η επεξεργασία και ερμηνεία των δεδομένων. </w:t>
      </w:r>
    </w:p>
    <w:p w:rsidR="00000000" w:rsidDel="00000000" w:rsidP="00000000" w:rsidRDefault="00000000" w:rsidRPr="00000000" w14:paraId="00000023">
      <w:pPr>
        <w:spacing w:after="120" w:lineRule="auto"/>
        <w:rPr>
          <w:rFonts w:ascii="The Wave Sans TT" w:cs="The Wave Sans TT" w:eastAsia="The Wave Sans TT" w:hAnsi="The Wave Sans TT"/>
          <w:b w:val="1"/>
          <w:sz w:val="21"/>
          <w:szCs w:val="21"/>
        </w:rPr>
      </w:pPr>
      <w:r w:rsidDel="00000000" w:rsidR="00000000" w:rsidRPr="00000000">
        <w:rPr>
          <w:rFonts w:ascii="The Wave Sans TT" w:cs="The Wave Sans TT" w:eastAsia="The Wave Sans TT" w:hAnsi="The Wave Sans TT"/>
          <w:b w:val="1"/>
          <w:sz w:val="21"/>
          <w:szCs w:val="21"/>
          <w:rtl w:val="0"/>
        </w:rPr>
        <w:t xml:space="preserve">Ελαφρώς ενισχυμένες οι τιμές του αργού – Μειωμένα τα περιθώρια διύλισης</w:t>
      </w:r>
    </w:p>
    <w:p w:rsidR="00000000" w:rsidDel="00000000" w:rsidP="00000000" w:rsidRDefault="00000000" w:rsidRPr="00000000" w14:paraId="00000024">
      <w:pPr>
        <w:spacing w:after="120" w:lineRule="auto"/>
        <w:rPr>
          <w:rFonts w:ascii="The Wave Sans TT" w:cs="The Wave Sans TT" w:eastAsia="The Wave Sans TT" w:hAnsi="The Wave Sans TT"/>
          <w:sz w:val="21"/>
          <w:szCs w:val="21"/>
        </w:rPr>
      </w:pPr>
      <w:r w:rsidDel="00000000" w:rsidR="00000000" w:rsidRPr="00000000">
        <w:rPr>
          <w:rFonts w:ascii="The Wave Sans TT" w:cs="The Wave Sans TT" w:eastAsia="The Wave Sans TT" w:hAnsi="The Wave Sans TT"/>
          <w:sz w:val="21"/>
          <w:szCs w:val="21"/>
          <w:rtl w:val="0"/>
        </w:rPr>
        <w:t xml:space="preserve">Οι τιμές αργού πετρελαίου (τύπου Brent) το Α’ Τρίμηνο 2024 διαμορφώθηκαν ελαφρώς υψηλότερα σε σχέση με το Α’ Τρίμηνο 2023, στα $83/βαρέλι. Αντίστοιχα, η ισοτιμία του Ευρώ έναντι του Δολαρίου ενισχύθηκε ελαφρώς και διαμορφώθηκε κατά μέσο όρο στα 1,09, έναντι 1,07 το Α’ Τρίμηνο 2023. </w:t>
      </w:r>
    </w:p>
    <w:p w:rsidR="00000000" w:rsidDel="00000000" w:rsidP="00000000" w:rsidRDefault="00000000" w:rsidRPr="00000000" w14:paraId="00000025">
      <w:pPr>
        <w:spacing w:after="120" w:lineRule="auto"/>
        <w:rPr>
          <w:rFonts w:ascii="The Wave Sans TT" w:cs="The Wave Sans TT" w:eastAsia="The Wave Sans TT" w:hAnsi="The Wave Sans TT"/>
          <w:sz w:val="21"/>
          <w:szCs w:val="21"/>
        </w:rPr>
      </w:pPr>
      <w:r w:rsidDel="00000000" w:rsidR="00000000" w:rsidRPr="00000000">
        <w:rPr>
          <w:rFonts w:ascii="The Wave Sans TT" w:cs="The Wave Sans TT" w:eastAsia="The Wave Sans TT" w:hAnsi="The Wave Sans TT"/>
          <w:sz w:val="21"/>
          <w:szCs w:val="21"/>
          <w:rtl w:val="0"/>
        </w:rPr>
        <w:t xml:space="preserve">Οι τιμές του φυσικού αερίου και της ηλεκτρικής ενέργειας υποχώρησαν περαιτέρω και διαμορφώθηκαν σημαντικά χαμηλότερα σε σχέση με το Α’ Τρίμηνο 2023, κατά 50% περίπου. Αντίστοιχα, οι τιμές δικαιωμάτων εκπομπών CO</w:t>
      </w:r>
      <w:r w:rsidDel="00000000" w:rsidR="00000000" w:rsidRPr="00000000">
        <w:rPr>
          <w:rFonts w:ascii="The Wave Sans TT" w:cs="The Wave Sans TT" w:eastAsia="The Wave Sans TT" w:hAnsi="The Wave Sans TT"/>
          <w:sz w:val="21"/>
          <w:szCs w:val="21"/>
          <w:vertAlign w:val="subscript"/>
          <w:rtl w:val="0"/>
        </w:rPr>
        <w:t xml:space="preserve">2</w:t>
      </w:r>
      <w:r w:rsidDel="00000000" w:rsidR="00000000" w:rsidRPr="00000000">
        <w:rPr>
          <w:rFonts w:ascii="The Wave Sans TT" w:cs="The Wave Sans TT" w:eastAsia="The Wave Sans TT" w:hAnsi="The Wave Sans TT"/>
          <w:sz w:val="21"/>
          <w:szCs w:val="21"/>
          <w:rtl w:val="0"/>
        </w:rPr>
        <w:t xml:space="preserve"> κατέγραψαν μείωση κατά 31%, κατά μέσο όρο, σε σχέση με την αντίστοιχη περσινή περίοδο.</w:t>
      </w:r>
    </w:p>
    <w:p w:rsidR="00000000" w:rsidDel="00000000" w:rsidP="00000000" w:rsidRDefault="00000000" w:rsidRPr="00000000" w14:paraId="00000026">
      <w:pPr>
        <w:spacing w:after="120" w:lineRule="auto"/>
        <w:rPr>
          <w:rFonts w:ascii="The Wave Sans TT" w:cs="The Wave Sans TT" w:eastAsia="The Wave Sans TT" w:hAnsi="The Wave Sans TT"/>
          <w:sz w:val="21"/>
          <w:szCs w:val="21"/>
        </w:rPr>
      </w:pPr>
      <w:r w:rsidDel="00000000" w:rsidR="00000000" w:rsidRPr="00000000">
        <w:rPr>
          <w:rFonts w:ascii="The Wave Sans TT" w:cs="The Wave Sans TT" w:eastAsia="The Wave Sans TT" w:hAnsi="The Wave Sans TT"/>
          <w:sz w:val="21"/>
          <w:szCs w:val="21"/>
          <w:rtl w:val="0"/>
        </w:rPr>
        <w:t xml:space="preserve">Τα περιθώρια διύλισης υποχώρησαν σε σχέση με τα ιδιαίτερα υψηλά επίπεδα του Α’ Τριμήνου 2023, παρέμειναν, ωστόσο, υψηλότερα συγκριτικά με τον πιο πρόσφατο (προ πανδημίας) πενταετή κύκλο (2015-2019). Το διεθνές περιθώριο αναφοράς συστήματος των διυλιστηρίων μας διαμορφώθηκε το Α’ Τρίμηνο 2024 κατά μέσο όρο στα $8,8/βαρέλι, έναντι $10,6/βαρέλι το Α’ Τρίμηνο 2023.</w:t>
      </w:r>
    </w:p>
    <w:p w:rsidR="00000000" w:rsidDel="00000000" w:rsidP="00000000" w:rsidRDefault="00000000" w:rsidRPr="00000000" w14:paraId="00000027">
      <w:pPr>
        <w:spacing w:after="120" w:lineRule="auto"/>
        <w:rPr>
          <w:rFonts w:ascii="The Wave Sans TT" w:cs="The Wave Sans TT" w:eastAsia="The Wave Sans TT" w:hAnsi="The Wave Sans TT"/>
          <w:b w:val="1"/>
          <w:color w:val="ff0000"/>
          <w:sz w:val="21"/>
          <w:szCs w:val="21"/>
          <w:highlight w:val="yellow"/>
        </w:rPr>
      </w:pPr>
      <w:r w:rsidDel="00000000" w:rsidR="00000000" w:rsidRPr="00000000">
        <w:rPr>
          <w:rtl w:val="0"/>
        </w:rPr>
      </w:r>
    </w:p>
    <w:p w:rsidR="00000000" w:rsidDel="00000000" w:rsidP="00000000" w:rsidRDefault="00000000" w:rsidRPr="00000000" w14:paraId="00000028">
      <w:pPr>
        <w:spacing w:after="120" w:lineRule="auto"/>
        <w:rPr>
          <w:rFonts w:ascii="The Wave Sans TT" w:cs="The Wave Sans TT" w:eastAsia="The Wave Sans TT" w:hAnsi="The Wave Sans TT"/>
          <w:b w:val="1"/>
          <w:sz w:val="21"/>
          <w:szCs w:val="21"/>
        </w:rPr>
      </w:pPr>
      <w:r w:rsidDel="00000000" w:rsidR="00000000" w:rsidRPr="00000000">
        <w:rPr>
          <w:rFonts w:ascii="The Wave Sans TT" w:cs="The Wave Sans TT" w:eastAsia="The Wave Sans TT" w:hAnsi="The Wave Sans TT"/>
          <w:b w:val="1"/>
          <w:sz w:val="21"/>
          <w:szCs w:val="21"/>
          <w:rtl w:val="0"/>
        </w:rPr>
        <w:t xml:space="preserve">Υψηλότερη ζήτηση στην εσωτερική αγορά</w:t>
      </w:r>
    </w:p>
    <w:p w:rsidR="00000000" w:rsidDel="00000000" w:rsidP="00000000" w:rsidRDefault="00000000" w:rsidRPr="00000000" w14:paraId="00000029">
      <w:pPr>
        <w:spacing w:after="120" w:lineRule="auto"/>
        <w:rPr>
          <w:rFonts w:ascii="The Wave Sans TT" w:cs="The Wave Sans TT" w:eastAsia="The Wave Sans TT" w:hAnsi="The Wave Sans TT"/>
          <w:sz w:val="21"/>
          <w:szCs w:val="21"/>
        </w:rPr>
      </w:pPr>
      <w:r w:rsidDel="00000000" w:rsidR="00000000" w:rsidRPr="00000000">
        <w:rPr>
          <w:rFonts w:ascii="The Wave Sans TT" w:cs="The Wave Sans TT" w:eastAsia="The Wave Sans TT" w:hAnsi="The Wave Sans TT"/>
          <w:sz w:val="21"/>
          <w:szCs w:val="21"/>
          <w:rtl w:val="0"/>
        </w:rPr>
        <w:t xml:space="preserve">Η ζήτηση στην εσωτερική αγορά διαμορφώθηκε στους 1,6 εκατ. τόνους το Α’ Τρίμηνο 2024, υψηλότερα κατά 2%, με την κατανάλωση των καυσίμων κίνησης να βελτιώνεται κατά 4% σε σχέση με το Α’ Τρίμηνο 2023. Σημαντική αύξηση σημείωσε η ζήτηση αεροπορικών και ναυτιλιακών καυσίμων, για την ίδια περίοδο, κατά 19% και 9% αντίστοιχα. </w:t>
      </w:r>
    </w:p>
    <w:p w:rsidR="00000000" w:rsidDel="00000000" w:rsidP="00000000" w:rsidRDefault="00000000" w:rsidRPr="00000000" w14:paraId="0000002A">
      <w:pPr>
        <w:spacing w:after="120" w:lineRule="auto"/>
        <w:rPr>
          <w:rFonts w:ascii="The Wave Sans TT" w:cs="The Wave Sans TT" w:eastAsia="The Wave Sans TT" w:hAnsi="The Wave Sans TT"/>
          <w:b w:val="1"/>
          <w:sz w:val="21"/>
          <w:szCs w:val="21"/>
        </w:rPr>
      </w:pPr>
      <w:r w:rsidDel="00000000" w:rsidR="00000000" w:rsidRPr="00000000">
        <w:rPr>
          <w:rtl w:val="0"/>
        </w:rPr>
      </w:r>
    </w:p>
    <w:p w:rsidR="00000000" w:rsidDel="00000000" w:rsidP="00000000" w:rsidRDefault="00000000" w:rsidRPr="00000000" w14:paraId="0000002B">
      <w:pPr>
        <w:spacing w:after="120" w:lineRule="auto"/>
        <w:rPr>
          <w:rFonts w:ascii="The Wave Sans TT" w:cs="The Wave Sans TT" w:eastAsia="The Wave Sans TT" w:hAnsi="The Wave Sans TT"/>
          <w:b w:val="1"/>
          <w:sz w:val="21"/>
          <w:szCs w:val="21"/>
        </w:rPr>
      </w:pPr>
      <w:r w:rsidDel="00000000" w:rsidR="00000000" w:rsidRPr="00000000">
        <w:rPr>
          <w:rFonts w:ascii="The Wave Sans TT" w:cs="The Wave Sans TT" w:eastAsia="The Wave Sans TT" w:hAnsi="The Wave Sans TT"/>
          <w:b w:val="1"/>
          <w:sz w:val="21"/>
          <w:szCs w:val="21"/>
          <w:rtl w:val="0"/>
        </w:rPr>
        <w:t xml:space="preserve">Ισολογισμός και επενδυτικές δαπάνες </w:t>
      </w:r>
    </w:p>
    <w:p w:rsidR="00000000" w:rsidDel="00000000" w:rsidP="00000000" w:rsidRDefault="00000000" w:rsidRPr="00000000" w14:paraId="0000002C">
      <w:pPr>
        <w:spacing w:after="120" w:lineRule="auto"/>
        <w:rPr>
          <w:rFonts w:ascii="The Wave Sans TT" w:cs="The Wave Sans TT" w:eastAsia="The Wave Sans TT" w:hAnsi="The Wave Sans TT"/>
          <w:sz w:val="21"/>
          <w:szCs w:val="21"/>
        </w:rPr>
      </w:pPr>
      <w:r w:rsidDel="00000000" w:rsidR="00000000" w:rsidRPr="00000000">
        <w:rPr>
          <w:rFonts w:ascii="The Wave Sans TT" w:cs="The Wave Sans TT" w:eastAsia="The Wave Sans TT" w:hAnsi="The Wave Sans TT"/>
          <w:sz w:val="21"/>
          <w:szCs w:val="21"/>
          <w:rtl w:val="0"/>
        </w:rPr>
        <w:t xml:space="preserve">Οι λειτουργικές ταμειακές ροές ανήλθαν το Α’ Τρίμηνο 2024 στα €83 εκατ., παρά την αποπληρωμή των τελευταίων δόσεων της Συνεισφοράς Αλληλεγγύης, αλλά και την προσωρινή επιβάρυνση που υπήρξε στο κεφάλαιο κίνησης λόγω των αναταράξεων στις εμπορικές ροές στην ευρύτερη περιοχή της Μέσης Ανατολής, σε συνέχεια των γεωπολιτικών εξελίξεων στην Ερυθρά Θάλασσα. Οι επενδυτικές δαπάνες διαμορφώθηκαν σε €93 εκατ., κατευθυνόμενες κυρίως σε έργα συντήρησης στα διυλιστήρια και στην ανάπτυξη των ΑΠΕ. </w:t>
      </w:r>
    </w:p>
    <w:p w:rsidR="00000000" w:rsidDel="00000000" w:rsidP="00000000" w:rsidRDefault="00000000" w:rsidRPr="00000000" w14:paraId="0000002D">
      <w:pPr>
        <w:spacing w:after="120" w:lineRule="auto"/>
        <w:rPr>
          <w:rFonts w:ascii="The Wave Sans TT" w:cs="The Wave Sans TT" w:eastAsia="The Wave Sans TT" w:hAnsi="The Wave Sans TT"/>
          <w:sz w:val="21"/>
          <w:szCs w:val="21"/>
        </w:rPr>
      </w:pPr>
      <w:r w:rsidDel="00000000" w:rsidR="00000000" w:rsidRPr="00000000">
        <w:rPr>
          <w:rFonts w:ascii="The Wave Sans TT" w:cs="The Wave Sans TT" w:eastAsia="The Wave Sans TT" w:hAnsi="The Wave Sans TT"/>
          <w:sz w:val="21"/>
          <w:szCs w:val="21"/>
          <w:rtl w:val="0"/>
        </w:rPr>
        <w:t xml:space="preserve">Ο καθαρός δανεισμός ανήλθε στα €1,75 δισ., ελαφρώς αυξημένος σε σχέση με το τέλος του 2023. Ο δείκτης δανειακής μόχλευσης (καθαρός δανεισμός προς συνολικά κεφάλαια) διαμορφώθηκε στο 36%, αμετάβλητος σε σχέση με το προηγούμενο τρίμηνο. </w:t>
      </w:r>
    </w:p>
    <w:p w:rsidR="00000000" w:rsidDel="00000000" w:rsidP="00000000" w:rsidRDefault="00000000" w:rsidRPr="00000000" w14:paraId="0000002E">
      <w:pPr>
        <w:spacing w:after="120" w:lineRule="auto"/>
        <w:rPr>
          <w:rFonts w:ascii="The Wave Sans TT" w:cs="The Wave Sans TT" w:eastAsia="The Wave Sans TT" w:hAnsi="The Wave Sans TT"/>
          <w:b w:val="1"/>
          <w:sz w:val="21"/>
          <w:szCs w:val="21"/>
        </w:rPr>
      </w:pPr>
      <w:r w:rsidDel="00000000" w:rsidR="00000000" w:rsidRPr="00000000">
        <w:rPr>
          <w:rFonts w:ascii="The Wave Sans TT" w:cs="The Wave Sans TT" w:eastAsia="The Wave Sans TT" w:hAnsi="The Wave Sans TT"/>
          <w:sz w:val="21"/>
          <w:szCs w:val="21"/>
          <w:rtl w:val="0"/>
        </w:rPr>
        <w:t xml:space="preserve">Επιπλέον, εντός των επόμενων εβδομάδων αναμένεται να ολοκληρωθεί </w:t>
      </w:r>
      <w:r w:rsidDel="00000000" w:rsidR="00000000" w:rsidRPr="00000000">
        <w:rPr>
          <w:rFonts w:ascii="The Wave Sans TT" w:cs="The Wave Sans TT" w:eastAsia="The Wave Sans TT" w:hAnsi="The Wave Sans TT"/>
          <w:b w:val="1"/>
          <w:sz w:val="21"/>
          <w:szCs w:val="21"/>
          <w:rtl w:val="0"/>
        </w:rPr>
        <w:t xml:space="preserve">η αναχρηματοδότηση δανεισμού συνολικού ύψους €1 δισ.,</w:t>
      </w:r>
      <w:r w:rsidDel="00000000" w:rsidR="00000000" w:rsidRPr="00000000">
        <w:rPr>
          <w:rFonts w:ascii="The Wave Sans TT" w:cs="The Wave Sans TT" w:eastAsia="The Wave Sans TT" w:hAnsi="The Wave Sans TT"/>
          <w:sz w:val="21"/>
          <w:szCs w:val="21"/>
          <w:rtl w:val="0"/>
        </w:rPr>
        <w:t xml:space="preserve"> με ιδιαίτερα ελκυστικούς όρους, μειωμένα περιθώρια επιτοκίου που μετριάζουν την εξάρτηση από τη μεταβλητότητα των διεθνών επιτοκίων αναφοράς, αλλά και επέκταση του συνολικού προφίλ ωρίμανσης κατά ένα έτος</w:t>
      </w:r>
      <w:r w:rsidDel="00000000" w:rsidR="00000000" w:rsidRPr="00000000">
        <w:rPr>
          <w:rFonts w:ascii="The Wave Sans TT" w:cs="The Wave Sans TT" w:eastAsia="The Wave Sans TT" w:hAnsi="The Wave Sans TT"/>
          <w:b w:val="1"/>
          <w:sz w:val="21"/>
          <w:szCs w:val="21"/>
          <w:rtl w:val="0"/>
        </w:rPr>
        <w:t xml:space="preserve">. </w:t>
      </w:r>
      <w:r w:rsidDel="00000000" w:rsidR="00000000" w:rsidRPr="00000000">
        <w:rPr>
          <w:rFonts w:ascii="The Wave Sans TT" w:cs="The Wave Sans TT" w:eastAsia="The Wave Sans TT" w:hAnsi="The Wave Sans TT"/>
          <w:sz w:val="21"/>
          <w:szCs w:val="21"/>
          <w:rtl w:val="0"/>
        </w:rPr>
        <w:t xml:space="preserve">Ο Όμιλος εξετάζει τις επιλογές του αναφορικά με τη λήξη του ευρω-ομολόγου ύψους €600 εκατ., που λήγει τον Οκτώβριο του 2024.</w:t>
      </w:r>
      <w:r w:rsidDel="00000000" w:rsidR="00000000" w:rsidRPr="00000000">
        <w:rPr>
          <w:rtl w:val="0"/>
        </w:rPr>
      </w:r>
    </w:p>
    <w:p w:rsidR="00000000" w:rsidDel="00000000" w:rsidP="00000000" w:rsidRDefault="00000000" w:rsidRPr="00000000" w14:paraId="0000002F">
      <w:pPr>
        <w:widowControl w:val="0"/>
        <w:spacing w:after="120" w:lineRule="auto"/>
        <w:ind w:right="-199"/>
        <w:rPr>
          <w:rFonts w:ascii="The Wave Sans TT" w:cs="The Wave Sans TT" w:eastAsia="The Wave Sans TT" w:hAnsi="The Wave Sans TT"/>
          <w:b w:val="1"/>
          <w:color w:val="ff0000"/>
          <w:sz w:val="21"/>
          <w:szCs w:val="21"/>
        </w:rPr>
      </w:pPr>
      <w:r w:rsidDel="00000000" w:rsidR="00000000" w:rsidRPr="00000000">
        <w:rPr>
          <w:rtl w:val="0"/>
        </w:rPr>
      </w:r>
    </w:p>
    <w:p w:rsidR="00000000" w:rsidDel="00000000" w:rsidP="00000000" w:rsidRDefault="00000000" w:rsidRPr="00000000" w14:paraId="00000030">
      <w:pPr>
        <w:widowControl w:val="0"/>
        <w:spacing w:after="120" w:lineRule="auto"/>
        <w:ind w:right="-199"/>
        <w:rPr>
          <w:rFonts w:ascii="The Wave Sans TT" w:cs="The Wave Sans TT" w:eastAsia="The Wave Sans TT" w:hAnsi="The Wave Sans TT"/>
          <w:b w:val="1"/>
          <w:color w:val="ff0000"/>
          <w:sz w:val="21"/>
          <w:szCs w:val="21"/>
        </w:rPr>
      </w:pPr>
      <w:r w:rsidDel="00000000" w:rsidR="00000000" w:rsidRPr="00000000">
        <w:rPr>
          <w:rtl w:val="0"/>
        </w:rPr>
      </w:r>
    </w:p>
    <w:p w:rsidR="00000000" w:rsidDel="00000000" w:rsidP="00000000" w:rsidRDefault="00000000" w:rsidRPr="00000000" w14:paraId="00000031">
      <w:pPr>
        <w:widowControl w:val="0"/>
        <w:spacing w:after="120" w:lineRule="auto"/>
        <w:ind w:right="-199"/>
        <w:rPr>
          <w:rFonts w:ascii="The Wave Sans TT" w:cs="The Wave Sans TT" w:eastAsia="The Wave Sans TT" w:hAnsi="The Wave Sans TT"/>
          <w:b w:val="1"/>
          <w:color w:val="ff0000"/>
          <w:sz w:val="21"/>
          <w:szCs w:val="21"/>
        </w:rPr>
      </w:pPr>
      <w:r w:rsidDel="00000000" w:rsidR="00000000" w:rsidRPr="00000000">
        <w:rPr>
          <w:rtl w:val="0"/>
        </w:rPr>
      </w:r>
    </w:p>
    <w:p w:rsidR="00000000" w:rsidDel="00000000" w:rsidP="00000000" w:rsidRDefault="00000000" w:rsidRPr="00000000" w14:paraId="00000032">
      <w:pPr>
        <w:widowControl w:val="0"/>
        <w:spacing w:after="120" w:lineRule="auto"/>
        <w:ind w:right="26"/>
        <w:rPr>
          <w:rFonts w:ascii="The Wave Sans TT" w:cs="The Wave Sans TT" w:eastAsia="The Wave Sans TT" w:hAnsi="The Wave Sans TT"/>
          <w:sz w:val="21"/>
          <w:szCs w:val="21"/>
        </w:rPr>
      </w:pPr>
      <w:r w:rsidDel="00000000" w:rsidR="00000000" w:rsidRPr="00000000">
        <w:rPr>
          <w:rFonts w:ascii="The Wave Sans TT" w:cs="The Wave Sans TT" w:eastAsia="The Wave Sans TT" w:hAnsi="The Wave Sans TT"/>
          <w:b w:val="1"/>
          <w:sz w:val="21"/>
          <w:szCs w:val="21"/>
          <w:rtl w:val="0"/>
        </w:rPr>
        <w:t xml:space="preserve">Σχολιάζοντας τα αποτελέσματα, ο Διευθύνων Σύμβουλος της HELLENiQ ENERGY Holdings A.E., Ανδρέας Σιάμισιης, επεσήμανε:</w:t>
      </w:r>
      <w:r w:rsidDel="00000000" w:rsidR="00000000" w:rsidRPr="00000000">
        <w:rPr>
          <w:rtl w:val="0"/>
        </w:rPr>
      </w:r>
    </w:p>
    <w:p w:rsidR="00000000" w:rsidDel="00000000" w:rsidP="00000000" w:rsidRDefault="00000000" w:rsidRPr="00000000" w14:paraId="00000033">
      <w:pPr>
        <w:widowControl w:val="0"/>
        <w:spacing w:after="120" w:lineRule="auto"/>
        <w:ind w:right="26"/>
        <w:rPr>
          <w:rFonts w:ascii="The Wave Sans TT" w:cs="The Wave Sans TT" w:eastAsia="The Wave Sans TT" w:hAnsi="The Wave Sans TT"/>
          <w:i w:val="1"/>
          <w:sz w:val="21"/>
          <w:szCs w:val="21"/>
        </w:rPr>
      </w:pPr>
      <w:r w:rsidDel="00000000" w:rsidR="00000000" w:rsidRPr="00000000">
        <w:rPr>
          <w:rFonts w:ascii="The Wave Sans TT" w:cs="The Wave Sans TT" w:eastAsia="The Wave Sans TT" w:hAnsi="The Wave Sans TT"/>
          <w:i w:val="1"/>
          <w:sz w:val="21"/>
          <w:szCs w:val="21"/>
          <w:rtl w:val="0"/>
        </w:rPr>
        <w:t xml:space="preserve">«Το 2024 ξεκίνησε με θετικό τρόπο, καθώς τα οικονομικά μας αποτελέσματα παραμένουν ισχυρά σημειώνοντας υψηλές </w:t>
      </w:r>
      <w:r w:rsidDel="00000000" w:rsidR="00000000" w:rsidRPr="00000000">
        <w:rPr>
          <w:rFonts w:ascii="The Wave Sans TT" w:cs="The Wave Sans TT" w:eastAsia="The Wave Sans TT" w:hAnsi="The Wave Sans TT"/>
          <w:b w:val="1"/>
          <w:i w:val="1"/>
          <w:sz w:val="21"/>
          <w:szCs w:val="21"/>
          <w:rtl w:val="0"/>
        </w:rPr>
        <w:t xml:space="preserve">πωλήσεις προϊόντων διύλισης (+8%) και κερδοφορία EBITDA €338 εκατ.. </w:t>
      </w:r>
      <w:r w:rsidDel="00000000" w:rsidR="00000000" w:rsidRPr="00000000">
        <w:rPr>
          <w:rFonts w:ascii="The Wave Sans TT" w:cs="The Wave Sans TT" w:eastAsia="The Wave Sans TT" w:hAnsi="The Wave Sans TT"/>
          <w:i w:val="1"/>
          <w:sz w:val="21"/>
          <w:szCs w:val="21"/>
          <w:rtl w:val="0"/>
        </w:rPr>
        <w:t xml:space="preserve">Κινητήριος δύναμη, εκτός του περιβάλλοντος διύλισης, παραμένουν οι αυξημένες εξαγωγές, η καλή λειτουργία των διυλιστηρίων και η επέκταση σε δραστηριότητες του εξωτερικού.</w:t>
      </w:r>
    </w:p>
    <w:p w:rsidR="00000000" w:rsidDel="00000000" w:rsidP="00000000" w:rsidRDefault="00000000" w:rsidRPr="00000000" w14:paraId="00000034">
      <w:pPr>
        <w:widowControl w:val="0"/>
        <w:spacing w:after="120" w:lineRule="auto"/>
        <w:ind w:right="26"/>
        <w:rPr>
          <w:rFonts w:ascii="The Wave Sans TT" w:cs="The Wave Sans TT" w:eastAsia="The Wave Sans TT" w:hAnsi="The Wave Sans TT"/>
          <w:i w:val="1"/>
          <w:sz w:val="21"/>
          <w:szCs w:val="21"/>
        </w:rPr>
      </w:pPr>
      <w:r w:rsidDel="00000000" w:rsidR="00000000" w:rsidRPr="00000000">
        <w:rPr>
          <w:rFonts w:ascii="The Wave Sans TT" w:cs="The Wave Sans TT" w:eastAsia="The Wave Sans TT" w:hAnsi="The Wave Sans TT"/>
          <w:i w:val="1"/>
          <w:sz w:val="21"/>
          <w:szCs w:val="21"/>
          <w:rtl w:val="0"/>
        </w:rPr>
        <w:t xml:space="preserve">Στρατηγικά, προχωρούμε με την υλοποίηση του Vision 2025, το οποίο στοχεύει στην ενδυνάμωση των παραδοσιακών μας δραστηριοτήτων, στη δημιουργία ενός νέου σημαντικού πυλώνα σε ΑΠΕ, ενώ ταυτόχρονα επενδύει στη βελτίωση του τρόπου λειτουργίας του Ομίλου και στην ενδυνάμωση του ανθρώπινου δυναμικού.</w:t>
      </w:r>
    </w:p>
    <w:p w:rsidR="00000000" w:rsidDel="00000000" w:rsidP="00000000" w:rsidRDefault="00000000" w:rsidRPr="00000000" w14:paraId="00000035">
      <w:pPr>
        <w:widowControl w:val="0"/>
        <w:spacing w:after="120" w:lineRule="auto"/>
        <w:ind w:right="26"/>
        <w:rPr>
          <w:rFonts w:ascii="The Wave Sans TT" w:cs="The Wave Sans TT" w:eastAsia="The Wave Sans TT" w:hAnsi="The Wave Sans TT"/>
          <w:i w:val="1"/>
          <w:sz w:val="21"/>
          <w:szCs w:val="21"/>
        </w:rPr>
      </w:pPr>
      <w:r w:rsidDel="00000000" w:rsidR="00000000" w:rsidRPr="00000000">
        <w:rPr>
          <w:rFonts w:ascii="The Wave Sans TT" w:cs="The Wave Sans TT" w:eastAsia="The Wave Sans TT" w:hAnsi="The Wave Sans TT"/>
          <w:i w:val="1"/>
          <w:sz w:val="21"/>
          <w:szCs w:val="21"/>
          <w:rtl w:val="0"/>
        </w:rPr>
        <w:t xml:space="preserve">Σημαντική έμφαση έχει δοθεί στην ανάπτυξη δραστηριοτήτων σε αγορές εκτός Ελλάδας, είτε με τοπική παρουσία, είτε μέσω της αύξησης των εξαγωγών και την ενίσχυση της διεθνούς εμπορίας. Σε θέματα ΑΠΕ είμαστε πιο προσεκτικοί, καθώς τα προβλήματα διαθεσιμότητας ηλεκτρικού χώρου στα δίκτυα, αλλά και στις τεχνολογίες αποθήκευσης, εξακολουθούν να παραμένουν άλυτα. Παρόλα αυτά, ωριμάζουμε το χαρτοφυλάκιό μας, το οποίο ανέρχεται σε </w:t>
      </w:r>
      <w:r w:rsidDel="00000000" w:rsidR="00000000" w:rsidRPr="00000000">
        <w:rPr>
          <w:rFonts w:ascii="The Wave Sans TT" w:cs="The Wave Sans TT" w:eastAsia="The Wave Sans TT" w:hAnsi="The Wave Sans TT"/>
          <w:b w:val="1"/>
          <w:i w:val="1"/>
          <w:sz w:val="21"/>
          <w:szCs w:val="21"/>
          <w:rtl w:val="0"/>
        </w:rPr>
        <w:t xml:space="preserve">4,3 GW και προσβλέπουμε σε λειτουργία 1 GW στους επόμενους 18 μήνες.</w:t>
      </w:r>
      <w:r w:rsidDel="00000000" w:rsidR="00000000" w:rsidRPr="00000000">
        <w:rPr>
          <w:rtl w:val="0"/>
        </w:rPr>
      </w:r>
    </w:p>
    <w:p w:rsidR="00000000" w:rsidDel="00000000" w:rsidP="00000000" w:rsidRDefault="00000000" w:rsidRPr="00000000" w14:paraId="00000036">
      <w:pPr>
        <w:widowControl w:val="0"/>
        <w:spacing w:after="120" w:lineRule="auto"/>
        <w:ind w:right="26"/>
        <w:rPr>
          <w:rFonts w:ascii="The Wave Sans TT" w:cs="The Wave Sans TT" w:eastAsia="The Wave Sans TT" w:hAnsi="The Wave Sans TT"/>
          <w:i w:val="1"/>
          <w:sz w:val="21"/>
          <w:szCs w:val="21"/>
        </w:rPr>
      </w:pPr>
      <w:r w:rsidDel="00000000" w:rsidR="00000000" w:rsidRPr="00000000">
        <w:rPr>
          <w:rFonts w:ascii="The Wave Sans TT" w:cs="The Wave Sans TT" w:eastAsia="The Wave Sans TT" w:hAnsi="The Wave Sans TT"/>
          <w:i w:val="1"/>
          <w:sz w:val="21"/>
          <w:szCs w:val="21"/>
          <w:rtl w:val="0"/>
        </w:rPr>
        <w:t xml:space="preserve">Όσον αφορά στο επόμενο διάστημα, το Β’ Τρίμηνο 2024 τα περιθώρια διύλισης, αν και χαμηλότερα σε σχέση με το Α’ Τρίμηνο του έτους, βρίσκονται σε θετικό έδαφος. Η ζήτηση στην εσωτερική αγορά παραμένει ισχυρή, ιδιαίτερα για τα καύσιμα κίνησης, ενώ οι προοπτικές ενόψει και της τουριστικής περιόδου εμφανίζονται ιδιαίτερα θετικές.»</w:t>
      </w:r>
    </w:p>
    <w:p w:rsidR="00000000" w:rsidDel="00000000" w:rsidP="00000000" w:rsidRDefault="00000000" w:rsidRPr="00000000" w14:paraId="00000037">
      <w:pPr>
        <w:spacing w:after="0" w:line="240" w:lineRule="auto"/>
        <w:rPr>
          <w:rFonts w:ascii="The Wave Sans TT" w:cs="The Wave Sans TT" w:eastAsia="The Wave Sans TT" w:hAnsi="The Wave Sans TT"/>
          <w:sz w:val="21"/>
          <w:szCs w:val="21"/>
          <w:u w:val="single"/>
        </w:rPr>
      </w:pPr>
      <w:r w:rsidDel="00000000" w:rsidR="00000000" w:rsidRPr="00000000">
        <w:rPr>
          <w:rtl w:val="0"/>
        </w:rPr>
      </w:r>
    </w:p>
    <w:p w:rsidR="00000000" w:rsidDel="00000000" w:rsidP="00000000" w:rsidRDefault="00000000" w:rsidRPr="00000000" w14:paraId="00000038">
      <w:pPr>
        <w:spacing w:after="0" w:line="240" w:lineRule="auto"/>
        <w:rPr>
          <w:rFonts w:ascii="The Wave Sans TT" w:cs="The Wave Sans TT" w:eastAsia="The Wave Sans TT" w:hAnsi="The Wave Sans TT"/>
          <w:sz w:val="21"/>
          <w:szCs w:val="21"/>
          <w:u w:val="single"/>
        </w:rPr>
      </w:pPr>
      <w:r w:rsidDel="00000000" w:rsidR="00000000" w:rsidRPr="00000000">
        <w:rPr>
          <w:rtl w:val="0"/>
        </w:rPr>
      </w:r>
    </w:p>
    <w:p w:rsidR="00000000" w:rsidDel="00000000" w:rsidP="00000000" w:rsidRDefault="00000000" w:rsidRPr="00000000" w14:paraId="00000039">
      <w:pPr>
        <w:spacing w:after="0" w:line="240" w:lineRule="auto"/>
        <w:rPr>
          <w:rFonts w:ascii="The Wave Sans TT" w:cs="The Wave Sans TT" w:eastAsia="The Wave Sans TT" w:hAnsi="The Wave Sans TT"/>
          <w:sz w:val="21"/>
          <w:szCs w:val="21"/>
          <w:u w:val="single"/>
        </w:rPr>
      </w:pPr>
      <w:r w:rsidDel="00000000" w:rsidR="00000000" w:rsidRPr="00000000">
        <w:rPr>
          <w:rtl w:val="0"/>
        </w:rPr>
      </w:r>
    </w:p>
    <w:p w:rsidR="00000000" w:rsidDel="00000000" w:rsidP="00000000" w:rsidRDefault="00000000" w:rsidRPr="00000000" w14:paraId="0000003A">
      <w:pPr>
        <w:spacing w:after="0" w:line="240" w:lineRule="auto"/>
        <w:rPr>
          <w:rFonts w:ascii="The Wave Sans TT" w:cs="The Wave Sans TT" w:eastAsia="The Wave Sans TT" w:hAnsi="The Wave Sans TT"/>
          <w:sz w:val="21"/>
          <w:szCs w:val="21"/>
          <w:u w:val="single"/>
        </w:rPr>
      </w:pPr>
      <w:r w:rsidDel="00000000" w:rsidR="00000000" w:rsidRPr="00000000">
        <w:rPr>
          <w:rtl w:val="0"/>
        </w:rPr>
      </w:r>
    </w:p>
    <w:p w:rsidR="00000000" w:rsidDel="00000000" w:rsidP="00000000" w:rsidRDefault="00000000" w:rsidRPr="00000000" w14:paraId="0000003B">
      <w:pPr>
        <w:spacing w:after="0" w:line="240" w:lineRule="auto"/>
        <w:rPr>
          <w:rFonts w:ascii="The Wave Sans TT" w:cs="The Wave Sans TT" w:eastAsia="The Wave Sans TT" w:hAnsi="The Wave Sans TT"/>
          <w:sz w:val="21"/>
          <w:szCs w:val="21"/>
          <w:u w:val="single"/>
        </w:rPr>
      </w:pPr>
      <w:r w:rsidDel="00000000" w:rsidR="00000000" w:rsidRPr="00000000">
        <w:rPr>
          <w:rFonts w:ascii="The Wave Sans TT" w:cs="The Wave Sans TT" w:eastAsia="The Wave Sans TT" w:hAnsi="The Wave Sans TT"/>
          <w:sz w:val="21"/>
          <w:szCs w:val="21"/>
          <w:u w:val="single"/>
          <w:rtl w:val="0"/>
        </w:rPr>
        <w:t xml:space="preserve">Κύρια σημεία των αποτελεσμάτων A’ Τριμήνου 2024 για τις επιμέρους επιχειρηματικές δραστηριότητες, αναφέρονται στη συνέχεια:</w:t>
      </w:r>
    </w:p>
    <w:p w:rsidR="00000000" w:rsidDel="00000000" w:rsidP="00000000" w:rsidRDefault="00000000" w:rsidRPr="00000000" w14:paraId="0000003C">
      <w:pPr>
        <w:widowControl w:val="0"/>
        <w:spacing w:after="120" w:lineRule="auto"/>
        <w:ind w:right="23"/>
        <w:rPr>
          <w:rFonts w:ascii="The Wave Sans TT" w:cs="The Wave Sans TT" w:eastAsia="The Wave Sans TT" w:hAnsi="The Wave Sans TT"/>
          <w:b w:val="1"/>
          <w:color w:val="ff0000"/>
          <w:sz w:val="21"/>
          <w:szCs w:val="21"/>
          <w:u w:val="single"/>
        </w:rPr>
      </w:pPr>
      <w:r w:rsidDel="00000000" w:rsidR="00000000" w:rsidRPr="00000000">
        <w:rPr>
          <w:rtl w:val="0"/>
        </w:rPr>
      </w:r>
    </w:p>
    <w:p w:rsidR="00000000" w:rsidDel="00000000" w:rsidP="00000000" w:rsidRDefault="00000000" w:rsidRPr="00000000" w14:paraId="0000003D">
      <w:pPr>
        <w:widowControl w:val="0"/>
        <w:spacing w:after="120" w:lineRule="auto"/>
        <w:ind w:right="23"/>
        <w:rPr>
          <w:rFonts w:ascii="The Wave Sans TT" w:cs="The Wave Sans TT" w:eastAsia="The Wave Sans TT" w:hAnsi="The Wave Sans TT"/>
          <w:b w:val="1"/>
          <w:sz w:val="21"/>
          <w:szCs w:val="21"/>
        </w:rPr>
      </w:pPr>
      <w:r w:rsidDel="00000000" w:rsidR="00000000" w:rsidRPr="00000000">
        <w:rPr>
          <w:rFonts w:ascii="The Wave Sans TT" w:cs="The Wave Sans TT" w:eastAsia="The Wave Sans TT" w:hAnsi="The Wave Sans TT"/>
          <w:b w:val="1"/>
          <w:sz w:val="21"/>
          <w:szCs w:val="21"/>
          <w:rtl w:val="0"/>
        </w:rPr>
        <w:t xml:space="preserve">Διύλιση, Εφοδιασμός &amp; Εμπορία</w:t>
      </w:r>
    </w:p>
    <w:p w:rsidR="00000000" w:rsidDel="00000000" w:rsidP="00000000" w:rsidRDefault="00000000" w:rsidRPr="00000000" w14:paraId="0000003E">
      <w:pPr>
        <w:widowControl w:val="0"/>
        <w:numPr>
          <w:ilvl w:val="0"/>
          <w:numId w:val="2"/>
        </w:numPr>
        <w:spacing w:after="120" w:lineRule="auto"/>
        <w:ind w:left="360" w:right="23" w:hanging="360"/>
        <w:rPr>
          <w:b w:val="1"/>
        </w:rPr>
      </w:pPr>
      <w:r w:rsidDel="00000000" w:rsidR="00000000" w:rsidRPr="00000000">
        <w:rPr>
          <w:rFonts w:ascii="The Wave Sans TT" w:cs="The Wave Sans TT" w:eastAsia="The Wave Sans TT" w:hAnsi="The Wave Sans TT"/>
          <w:sz w:val="21"/>
          <w:szCs w:val="21"/>
          <w:rtl w:val="0"/>
        </w:rPr>
        <w:t xml:space="preserve">Τα Συγκρίσιμα Κέρδη EBITDA του κλάδου Διύλισης, Εφοδιασμού και Εμπορίας, ανήλθαν στα €289 εκατ.. Συνέβαλαν, οι αυξημένες πωλήσεις (+8%) λόγω βελτιωμένης διαθεσιμότητας και παραγωγής από τα 3 διυλιστήρια, τα ικανοποιητικά περιθώρια διύλισης και η υπεραπόδοση του συστήματος σε σχέση με τα ενδεικτικά περιθώρια.</w:t>
      </w:r>
      <w:r w:rsidDel="00000000" w:rsidR="00000000" w:rsidRPr="00000000">
        <w:rPr>
          <w:rtl w:val="0"/>
        </w:rPr>
      </w:r>
    </w:p>
    <w:p w:rsidR="00000000" w:rsidDel="00000000" w:rsidP="00000000" w:rsidRDefault="00000000" w:rsidRPr="00000000" w14:paraId="0000003F">
      <w:pPr>
        <w:widowControl w:val="0"/>
        <w:numPr>
          <w:ilvl w:val="0"/>
          <w:numId w:val="2"/>
        </w:numPr>
        <w:spacing w:after="120" w:lineRule="auto"/>
        <w:ind w:left="360" w:right="23" w:hanging="360"/>
        <w:rPr>
          <w:b w:val="1"/>
        </w:rPr>
      </w:pPr>
      <w:r w:rsidDel="00000000" w:rsidR="00000000" w:rsidRPr="00000000">
        <w:rPr>
          <w:rFonts w:ascii="The Wave Sans TT" w:cs="The Wave Sans TT" w:eastAsia="The Wave Sans TT" w:hAnsi="The Wave Sans TT"/>
          <w:sz w:val="21"/>
          <w:szCs w:val="21"/>
          <w:rtl w:val="0"/>
        </w:rPr>
        <w:t xml:space="preserve">Η παραγωγή προϊόντων ανήλθε στους 3,8 εκατ. τόνους, +5% σε σχέση με το Α’ Τρίμηνο 2023, ενώ η συνεισφορά των υψηλής προστιθέμενης αξίας προϊόντων στο μείγμα παραγωγής διατηρήθηκε άνω του 80%.</w:t>
      </w:r>
      <w:r w:rsidDel="00000000" w:rsidR="00000000" w:rsidRPr="00000000">
        <w:rPr>
          <w:rtl w:val="0"/>
        </w:rPr>
      </w:r>
    </w:p>
    <w:p w:rsidR="00000000" w:rsidDel="00000000" w:rsidP="00000000" w:rsidRDefault="00000000" w:rsidRPr="00000000" w14:paraId="00000040">
      <w:pPr>
        <w:widowControl w:val="0"/>
        <w:spacing w:after="120" w:lineRule="auto"/>
        <w:ind w:left="360" w:right="23" w:firstLine="0"/>
        <w:rPr>
          <w:rFonts w:ascii="The Wave Sans TT" w:cs="The Wave Sans TT" w:eastAsia="The Wave Sans TT" w:hAnsi="The Wave Sans TT"/>
          <w:b w:val="1"/>
          <w:color w:val="ff0000"/>
          <w:sz w:val="21"/>
          <w:szCs w:val="21"/>
        </w:rPr>
      </w:pPr>
      <w:r w:rsidDel="00000000" w:rsidR="00000000" w:rsidRPr="00000000">
        <w:rPr>
          <w:rtl w:val="0"/>
        </w:rPr>
      </w:r>
    </w:p>
    <w:p w:rsidR="00000000" w:rsidDel="00000000" w:rsidP="00000000" w:rsidRDefault="00000000" w:rsidRPr="00000000" w14:paraId="00000041">
      <w:pPr>
        <w:widowControl w:val="0"/>
        <w:spacing w:after="120" w:lineRule="auto"/>
        <w:ind w:right="23"/>
        <w:rPr>
          <w:rFonts w:ascii="The Wave Sans TT" w:cs="The Wave Sans TT" w:eastAsia="The Wave Sans TT" w:hAnsi="The Wave Sans TT"/>
          <w:b w:val="1"/>
          <w:sz w:val="21"/>
          <w:szCs w:val="21"/>
        </w:rPr>
      </w:pPr>
      <w:r w:rsidDel="00000000" w:rsidR="00000000" w:rsidRPr="00000000">
        <w:rPr>
          <w:rFonts w:ascii="The Wave Sans TT" w:cs="The Wave Sans TT" w:eastAsia="The Wave Sans TT" w:hAnsi="The Wave Sans TT"/>
          <w:b w:val="1"/>
          <w:sz w:val="21"/>
          <w:szCs w:val="21"/>
          <w:rtl w:val="0"/>
        </w:rPr>
        <w:t xml:space="preserve">Πετροχημικά</w:t>
      </w:r>
    </w:p>
    <w:p w:rsidR="00000000" w:rsidDel="00000000" w:rsidP="00000000" w:rsidRDefault="00000000" w:rsidRPr="00000000" w14:paraId="00000042">
      <w:pPr>
        <w:widowControl w:val="0"/>
        <w:numPr>
          <w:ilvl w:val="0"/>
          <w:numId w:val="2"/>
        </w:numPr>
        <w:spacing w:after="120" w:lineRule="auto"/>
        <w:ind w:left="360" w:right="23" w:hanging="360"/>
        <w:rPr/>
      </w:pPr>
      <w:r w:rsidDel="00000000" w:rsidR="00000000" w:rsidRPr="00000000">
        <w:rPr>
          <w:rFonts w:ascii="The Wave Sans TT" w:cs="The Wave Sans TT" w:eastAsia="The Wave Sans TT" w:hAnsi="The Wave Sans TT"/>
          <w:sz w:val="21"/>
          <w:szCs w:val="21"/>
          <w:rtl w:val="0"/>
        </w:rPr>
        <w:t xml:space="preserve">Τα Συγκρίσιμα Κέρδη EBITDA του κλάδου Πετροχημικών βελτιώθηκαν κατά 56% το Α’ Τρίμηνο 2024 και διαμορφώθηκαν στα €23 εκατ., λόγω υψηλότερων πωλήσεων και ανάκαμψης των περιθωρίων πολυπροπυλενίου.</w:t>
      </w:r>
    </w:p>
    <w:p w:rsidR="00000000" w:rsidDel="00000000" w:rsidP="00000000" w:rsidRDefault="00000000" w:rsidRPr="00000000" w14:paraId="00000043">
      <w:pPr>
        <w:widowControl w:val="0"/>
        <w:spacing w:after="120" w:lineRule="auto"/>
        <w:ind w:left="360" w:right="23" w:firstLine="0"/>
        <w:rPr>
          <w:rFonts w:ascii="The Wave Sans TT" w:cs="The Wave Sans TT" w:eastAsia="The Wave Sans TT" w:hAnsi="The Wave Sans TT"/>
          <w:color w:val="ff0000"/>
          <w:sz w:val="21"/>
          <w:szCs w:val="21"/>
        </w:rPr>
      </w:pPr>
      <w:r w:rsidDel="00000000" w:rsidR="00000000" w:rsidRPr="00000000">
        <w:rPr>
          <w:rtl w:val="0"/>
        </w:rPr>
      </w:r>
    </w:p>
    <w:p w:rsidR="00000000" w:rsidDel="00000000" w:rsidP="00000000" w:rsidRDefault="00000000" w:rsidRPr="00000000" w14:paraId="00000044">
      <w:pPr>
        <w:widowControl w:val="0"/>
        <w:spacing w:after="120" w:lineRule="auto"/>
        <w:ind w:right="23"/>
        <w:rPr>
          <w:rFonts w:ascii="The Wave Sans TT" w:cs="The Wave Sans TT" w:eastAsia="The Wave Sans TT" w:hAnsi="The Wave Sans TT"/>
          <w:b w:val="1"/>
          <w:sz w:val="21"/>
          <w:szCs w:val="21"/>
        </w:rPr>
      </w:pPr>
      <w:r w:rsidDel="00000000" w:rsidR="00000000" w:rsidRPr="00000000">
        <w:rPr>
          <w:rFonts w:ascii="The Wave Sans TT" w:cs="The Wave Sans TT" w:eastAsia="The Wave Sans TT" w:hAnsi="The Wave Sans TT"/>
          <w:b w:val="1"/>
          <w:sz w:val="21"/>
          <w:szCs w:val="21"/>
          <w:rtl w:val="0"/>
        </w:rPr>
        <w:t xml:space="preserve">Εμπορία</w:t>
      </w:r>
    </w:p>
    <w:p w:rsidR="00000000" w:rsidDel="00000000" w:rsidP="00000000" w:rsidRDefault="00000000" w:rsidRPr="00000000" w14:paraId="00000045">
      <w:pPr>
        <w:widowControl w:val="0"/>
        <w:numPr>
          <w:ilvl w:val="0"/>
          <w:numId w:val="2"/>
        </w:numPr>
        <w:spacing w:after="120" w:lineRule="auto"/>
        <w:ind w:left="360" w:right="23" w:hanging="360"/>
        <w:rPr/>
      </w:pPr>
      <w:r w:rsidDel="00000000" w:rsidR="00000000" w:rsidRPr="00000000">
        <w:rPr>
          <w:rFonts w:ascii="The Wave Sans TT" w:cs="The Wave Sans TT" w:eastAsia="The Wave Sans TT" w:hAnsi="The Wave Sans TT"/>
          <w:sz w:val="21"/>
          <w:szCs w:val="21"/>
          <w:rtl w:val="0"/>
        </w:rPr>
        <w:t xml:space="preserve">Ο κλάδος της Εγχώριας Εμπορίας στο Α’ Τρίμηνο 2024 κατέγραψε υψηλότερες πωλήσεις κατά 2%, με βελτίωση των μεριδίων αγοράς, ενώ αυξημένη ήταν η συνεισφορά, για άλλο ένα τρίμηνο, από τα διαφοροποιημένα καύσιμα. Παράλληλα, οι πωλήσεις καυσίμων αεροπορίας αυξήθηκαν κατά 21%, ενώ η ναυτιλία κινήθηκε σε σταθεροποιητική τάση. Η κερδοφορία βελτιώθηκε επικουρούμενη και από κέρδη αποτίμησης αποθεμάτων, ενώ οι κανονιστικοί περιορισμοί στο μεικτό περιθώριο λιανικής συνεχίζουν να παραμένουν σε ισχύ. </w:t>
      </w:r>
    </w:p>
    <w:p w:rsidR="00000000" w:rsidDel="00000000" w:rsidP="00000000" w:rsidRDefault="00000000" w:rsidRPr="00000000" w14:paraId="00000046">
      <w:pPr>
        <w:widowControl w:val="0"/>
        <w:numPr>
          <w:ilvl w:val="0"/>
          <w:numId w:val="2"/>
        </w:numPr>
        <w:spacing w:after="120" w:lineRule="auto"/>
        <w:ind w:left="360" w:right="23" w:hanging="360"/>
        <w:rPr>
          <w:b w:val="1"/>
        </w:rPr>
      </w:pPr>
      <w:r w:rsidDel="00000000" w:rsidR="00000000" w:rsidRPr="00000000">
        <w:rPr>
          <w:rFonts w:ascii="The Wave Sans TT" w:cs="The Wave Sans TT" w:eastAsia="The Wave Sans TT" w:hAnsi="The Wave Sans TT"/>
          <w:sz w:val="21"/>
          <w:szCs w:val="21"/>
          <w:rtl w:val="0"/>
        </w:rPr>
        <w:t xml:space="preserve">Ο κλάδος της Διεθνούς Εμπορίας κατέγραψε βελτιωμένες επιδόσεις, με αυξημένες πωλήσεις στη λιανική αγορά, βελτιωμένα μερίδια αγοράς, καθώς και ανοδική διείσδυση διαφοροποιημένων καυσίμων. Η κερδοφορία επηρεάστηκε κυρίως από κόστη που σχετίζονται με την επέκταση του δικτύου.</w:t>
      </w:r>
      <w:r w:rsidDel="00000000" w:rsidR="00000000" w:rsidRPr="00000000">
        <w:rPr>
          <w:rtl w:val="0"/>
        </w:rPr>
      </w:r>
    </w:p>
    <w:p w:rsidR="00000000" w:rsidDel="00000000" w:rsidP="00000000" w:rsidRDefault="00000000" w:rsidRPr="00000000" w14:paraId="00000047">
      <w:pPr>
        <w:widowControl w:val="0"/>
        <w:spacing w:after="120" w:lineRule="auto"/>
        <w:ind w:left="360" w:right="23" w:firstLine="0"/>
        <w:rPr>
          <w:rFonts w:ascii="The Wave Sans TT" w:cs="The Wave Sans TT" w:eastAsia="The Wave Sans TT" w:hAnsi="The Wave Sans TT"/>
          <w:b w:val="1"/>
          <w:sz w:val="21"/>
          <w:szCs w:val="21"/>
        </w:rPr>
      </w:pPr>
      <w:r w:rsidDel="00000000" w:rsidR="00000000" w:rsidRPr="00000000">
        <w:rPr>
          <w:rtl w:val="0"/>
        </w:rPr>
      </w:r>
    </w:p>
    <w:p w:rsidR="00000000" w:rsidDel="00000000" w:rsidP="00000000" w:rsidRDefault="00000000" w:rsidRPr="00000000" w14:paraId="00000048">
      <w:pPr>
        <w:widowControl w:val="0"/>
        <w:spacing w:after="120" w:lineRule="auto"/>
        <w:ind w:right="23"/>
        <w:rPr>
          <w:rFonts w:ascii="The Wave Sans TT" w:cs="The Wave Sans TT" w:eastAsia="The Wave Sans TT" w:hAnsi="The Wave Sans TT"/>
          <w:b w:val="1"/>
          <w:sz w:val="21"/>
          <w:szCs w:val="21"/>
        </w:rPr>
      </w:pPr>
      <w:r w:rsidDel="00000000" w:rsidR="00000000" w:rsidRPr="00000000">
        <w:rPr>
          <w:rFonts w:ascii="The Wave Sans TT" w:cs="The Wave Sans TT" w:eastAsia="The Wave Sans TT" w:hAnsi="The Wave Sans TT"/>
          <w:b w:val="1"/>
          <w:sz w:val="21"/>
          <w:szCs w:val="21"/>
          <w:rtl w:val="0"/>
        </w:rPr>
        <w:t xml:space="preserve">ΑΠΕ</w:t>
      </w:r>
    </w:p>
    <w:p w:rsidR="00000000" w:rsidDel="00000000" w:rsidP="00000000" w:rsidRDefault="00000000" w:rsidRPr="00000000" w14:paraId="00000049">
      <w:pPr>
        <w:widowControl w:val="0"/>
        <w:numPr>
          <w:ilvl w:val="0"/>
          <w:numId w:val="2"/>
        </w:numPr>
        <w:spacing w:after="120" w:lineRule="auto"/>
        <w:ind w:left="360" w:right="23" w:hanging="360"/>
        <w:rPr/>
      </w:pPr>
      <w:r w:rsidDel="00000000" w:rsidR="00000000" w:rsidRPr="00000000">
        <w:rPr>
          <w:rFonts w:ascii="The Wave Sans TT" w:cs="The Wave Sans TT" w:eastAsia="The Wave Sans TT" w:hAnsi="The Wave Sans TT"/>
          <w:sz w:val="21"/>
          <w:szCs w:val="21"/>
          <w:rtl w:val="0"/>
        </w:rPr>
        <w:t xml:space="preserve">Τα Κέρδη EBITDA του κλάδου ΑΠΕ ανήλθαν στα €11 εκατ. για το Α’ Τρίμηνο 2024. Η παραγωγή ενέργειας παρέμεινε στα ίδια με τα περσινά επίπεδα, ενώ η εγκατεστημένη ισχύς διαμορφώθηκε στα 381 MW (+40 MW σε σχέση με την αντίστοιχη περσινή περίοδο), καθώς στο τέλος του Α’ Τριμήνου προστέθηκαν 26 MW φωτοβολταϊκών πάρκων στην Κύπρο.  </w:t>
      </w:r>
    </w:p>
    <w:p w:rsidR="00000000" w:rsidDel="00000000" w:rsidP="00000000" w:rsidRDefault="00000000" w:rsidRPr="00000000" w14:paraId="0000004A">
      <w:pPr>
        <w:widowControl w:val="0"/>
        <w:spacing w:after="120" w:lineRule="auto"/>
        <w:ind w:right="23"/>
        <w:rPr>
          <w:rFonts w:ascii="The Wave Sans TT" w:cs="The Wave Sans TT" w:eastAsia="The Wave Sans TT" w:hAnsi="The Wave Sans TT"/>
          <w:b w:val="1"/>
          <w:sz w:val="21"/>
          <w:szCs w:val="21"/>
        </w:rPr>
      </w:pPr>
      <w:r w:rsidDel="00000000" w:rsidR="00000000" w:rsidRPr="00000000">
        <w:rPr>
          <w:rtl w:val="0"/>
        </w:rPr>
      </w:r>
    </w:p>
    <w:p w:rsidR="00000000" w:rsidDel="00000000" w:rsidP="00000000" w:rsidRDefault="00000000" w:rsidRPr="00000000" w14:paraId="0000004B">
      <w:pPr>
        <w:widowControl w:val="0"/>
        <w:spacing w:after="120" w:lineRule="auto"/>
        <w:ind w:right="23"/>
        <w:rPr>
          <w:rFonts w:ascii="The Wave Sans TT" w:cs="The Wave Sans TT" w:eastAsia="The Wave Sans TT" w:hAnsi="The Wave Sans TT"/>
          <w:b w:val="1"/>
          <w:sz w:val="21"/>
          <w:szCs w:val="21"/>
        </w:rPr>
      </w:pPr>
      <w:r w:rsidDel="00000000" w:rsidR="00000000" w:rsidRPr="00000000">
        <w:rPr>
          <w:rFonts w:ascii="The Wave Sans TT" w:cs="The Wave Sans TT" w:eastAsia="The Wave Sans TT" w:hAnsi="The Wave Sans TT"/>
          <w:b w:val="1"/>
          <w:sz w:val="21"/>
          <w:szCs w:val="21"/>
          <w:rtl w:val="0"/>
        </w:rPr>
        <w:t xml:space="preserve">Συμμετοχές</w:t>
      </w:r>
    </w:p>
    <w:p w:rsidR="00000000" w:rsidDel="00000000" w:rsidP="00000000" w:rsidRDefault="00000000" w:rsidRPr="00000000" w14:paraId="0000004C">
      <w:pPr>
        <w:widowControl w:val="0"/>
        <w:numPr>
          <w:ilvl w:val="0"/>
          <w:numId w:val="2"/>
        </w:numPr>
        <w:spacing w:after="120" w:lineRule="auto"/>
        <w:ind w:left="360" w:right="23" w:hanging="360"/>
        <w:rPr/>
      </w:pPr>
      <w:r w:rsidDel="00000000" w:rsidR="00000000" w:rsidRPr="00000000">
        <w:rPr>
          <w:rFonts w:ascii="The Wave Sans TT" w:cs="The Wave Sans TT" w:eastAsia="The Wave Sans TT" w:hAnsi="The Wave Sans TT"/>
          <w:sz w:val="21"/>
          <w:szCs w:val="21"/>
          <w:rtl w:val="0"/>
        </w:rPr>
        <w:t xml:space="preserve">Η συνεισφορά των κοινοπραξιών και συγγενών επιχειρήσεων που ενοποιούνται με τη μέθοδο της καθαρής θέσης στον κλάδο ηλεκτρισμού και φυσικού αερίου για το Α’ Τρίμηνο 2024 ήταν αρνητική και διαμορφώθηκε σε €-4 εκατ., σε σχέση με €31 εκατ. αντίστοιχου τριμήνου το 2023. </w:t>
      </w:r>
    </w:p>
    <w:p w:rsidR="00000000" w:rsidDel="00000000" w:rsidP="00000000" w:rsidRDefault="00000000" w:rsidRPr="00000000" w14:paraId="0000004D">
      <w:pPr>
        <w:widowControl w:val="0"/>
        <w:numPr>
          <w:ilvl w:val="0"/>
          <w:numId w:val="2"/>
        </w:numPr>
        <w:spacing w:after="120" w:lineRule="auto"/>
        <w:ind w:left="360" w:right="23" w:hanging="360"/>
        <w:rPr/>
      </w:pPr>
      <w:r w:rsidDel="00000000" w:rsidR="00000000" w:rsidRPr="00000000">
        <w:rPr>
          <w:rFonts w:ascii="The Wave Sans TT" w:cs="The Wave Sans TT" w:eastAsia="The Wave Sans TT" w:hAnsi="The Wave Sans TT"/>
          <w:sz w:val="21"/>
          <w:szCs w:val="21"/>
          <w:rtl w:val="0"/>
        </w:rPr>
        <w:t xml:space="preserve">Η κερδοφορία της Elpedison επηρεάστηκε αρνητικά από την περιορισμένη διαθεσιμότητα του εργοστασίου της Θίσβης και τις μειωμένες τιμές ηλεκτρικής ενέργειας στη χονδρεμπορική αγορά. Το εργοστάσιο της Θίσβης επανήλθε σε φυσιολογική λειτουργία στο τέλος του Α’ Τριμήνου 2024, αρκετά νωρίτερα από την προγραμματισμένη ημερομηνία.</w:t>
      </w:r>
    </w:p>
    <w:p w:rsidR="00000000" w:rsidDel="00000000" w:rsidP="00000000" w:rsidRDefault="00000000" w:rsidRPr="00000000" w14:paraId="0000004E">
      <w:pPr>
        <w:widowControl w:val="0"/>
        <w:spacing w:after="120" w:lineRule="auto"/>
        <w:ind w:right="23"/>
        <w:rPr>
          <w:rFonts w:ascii="The Wave Sans TT" w:cs="The Wave Sans TT" w:eastAsia="The Wave Sans TT" w:hAnsi="The Wave Sans TT"/>
          <w:sz w:val="21"/>
          <w:szCs w:val="21"/>
        </w:rPr>
      </w:pPr>
      <w:r w:rsidDel="00000000" w:rsidR="00000000" w:rsidRPr="00000000">
        <w:rPr>
          <w:rtl w:val="0"/>
        </w:rPr>
      </w:r>
    </w:p>
    <w:p w:rsidR="00000000" w:rsidDel="00000000" w:rsidP="00000000" w:rsidRDefault="00000000" w:rsidRPr="00000000" w14:paraId="0000004F">
      <w:pPr>
        <w:widowControl w:val="0"/>
        <w:spacing w:after="120" w:lineRule="auto"/>
        <w:ind w:right="23"/>
        <w:rPr>
          <w:rFonts w:ascii="The Wave Sans TT" w:cs="The Wave Sans TT" w:eastAsia="The Wave Sans TT" w:hAnsi="The Wave Sans TT"/>
          <w:sz w:val="21"/>
          <w:szCs w:val="21"/>
        </w:rPr>
      </w:pPr>
      <w:r w:rsidDel="00000000" w:rsidR="00000000" w:rsidRPr="00000000">
        <w:rPr>
          <w:rtl w:val="0"/>
        </w:rPr>
      </w:r>
    </w:p>
    <w:p w:rsidR="00000000" w:rsidDel="00000000" w:rsidP="00000000" w:rsidRDefault="00000000" w:rsidRPr="00000000" w14:paraId="00000050">
      <w:pPr>
        <w:widowControl w:val="0"/>
        <w:spacing w:after="120" w:lineRule="auto"/>
        <w:ind w:right="23"/>
        <w:rPr>
          <w:rFonts w:ascii="The Wave Sans TT" w:cs="The Wave Sans TT" w:eastAsia="The Wave Sans TT" w:hAnsi="The Wave Sans TT"/>
          <w:sz w:val="21"/>
          <w:szCs w:val="21"/>
        </w:rPr>
      </w:pPr>
      <w:r w:rsidDel="00000000" w:rsidR="00000000" w:rsidRPr="00000000">
        <w:rPr>
          <w:rtl w:val="0"/>
        </w:rPr>
      </w:r>
    </w:p>
    <w:p w:rsidR="00000000" w:rsidDel="00000000" w:rsidP="00000000" w:rsidRDefault="00000000" w:rsidRPr="00000000" w14:paraId="00000051">
      <w:pPr>
        <w:widowControl w:val="0"/>
        <w:spacing w:after="120" w:lineRule="auto"/>
        <w:ind w:right="23"/>
        <w:rPr>
          <w:rFonts w:ascii="The Wave Sans TT" w:cs="The Wave Sans TT" w:eastAsia="The Wave Sans TT" w:hAnsi="The Wave Sans TT"/>
          <w:sz w:val="21"/>
          <w:szCs w:val="21"/>
        </w:rPr>
      </w:pPr>
      <w:r w:rsidDel="00000000" w:rsidR="00000000" w:rsidRPr="00000000">
        <w:rPr>
          <w:rtl w:val="0"/>
        </w:rPr>
      </w:r>
    </w:p>
    <w:p w:rsidR="00000000" w:rsidDel="00000000" w:rsidP="00000000" w:rsidRDefault="00000000" w:rsidRPr="00000000" w14:paraId="00000052">
      <w:pPr>
        <w:widowControl w:val="0"/>
        <w:spacing w:after="120" w:lineRule="auto"/>
        <w:ind w:right="23"/>
        <w:rPr>
          <w:rFonts w:ascii="The Wave Sans TT" w:cs="The Wave Sans TT" w:eastAsia="The Wave Sans TT" w:hAnsi="The Wave Sans TT"/>
          <w:sz w:val="21"/>
          <w:szCs w:val="21"/>
        </w:rPr>
      </w:pPr>
      <w:r w:rsidDel="00000000" w:rsidR="00000000" w:rsidRPr="00000000">
        <w:rPr>
          <w:rtl w:val="0"/>
        </w:rPr>
      </w:r>
    </w:p>
    <w:p w:rsidR="00000000" w:rsidDel="00000000" w:rsidP="00000000" w:rsidRDefault="00000000" w:rsidRPr="00000000" w14:paraId="00000053">
      <w:pPr>
        <w:widowControl w:val="0"/>
        <w:spacing w:after="120" w:lineRule="auto"/>
        <w:ind w:right="23"/>
        <w:rPr>
          <w:rFonts w:ascii="The Wave Sans TT" w:cs="The Wave Sans TT" w:eastAsia="The Wave Sans TT" w:hAnsi="The Wave Sans TT"/>
          <w:sz w:val="21"/>
          <w:szCs w:val="21"/>
        </w:rPr>
      </w:pPr>
      <w:r w:rsidDel="00000000" w:rsidR="00000000" w:rsidRPr="00000000">
        <w:rPr>
          <w:rtl w:val="0"/>
        </w:rPr>
      </w:r>
    </w:p>
    <w:p w:rsidR="00000000" w:rsidDel="00000000" w:rsidP="00000000" w:rsidRDefault="00000000" w:rsidRPr="00000000" w14:paraId="00000054">
      <w:pPr>
        <w:widowControl w:val="0"/>
        <w:spacing w:after="120" w:lineRule="auto"/>
        <w:ind w:left="360" w:right="23" w:firstLine="0"/>
        <w:rPr>
          <w:rFonts w:ascii="The Wave Sans TT" w:cs="The Wave Sans TT" w:eastAsia="The Wave Sans TT" w:hAnsi="The Wave Sans TT"/>
          <w:sz w:val="21"/>
          <w:szCs w:val="21"/>
        </w:rPr>
      </w:pPr>
      <w:r w:rsidDel="00000000" w:rsidR="00000000" w:rsidRPr="00000000">
        <w:rPr>
          <w:rtl w:val="0"/>
        </w:rPr>
      </w:r>
    </w:p>
    <w:p w:rsidR="00000000" w:rsidDel="00000000" w:rsidP="00000000" w:rsidRDefault="00000000" w:rsidRPr="00000000" w14:paraId="00000055">
      <w:pPr>
        <w:widowControl w:val="0"/>
        <w:spacing w:after="120" w:lineRule="auto"/>
        <w:ind w:left="360" w:right="23" w:firstLine="0"/>
        <w:rPr>
          <w:rFonts w:ascii="The Wave Sans TT" w:cs="The Wave Sans TT" w:eastAsia="The Wave Sans TT" w:hAnsi="The Wave Sans TT"/>
          <w:color w:val="ff0000"/>
          <w:sz w:val="21"/>
          <w:szCs w:val="21"/>
        </w:rPr>
      </w:pPr>
      <w:r w:rsidDel="00000000" w:rsidR="00000000" w:rsidRPr="00000000">
        <w:rPr>
          <w:rtl w:val="0"/>
        </w:rPr>
      </w:r>
    </w:p>
    <w:p w:rsidR="00000000" w:rsidDel="00000000" w:rsidP="00000000" w:rsidRDefault="00000000" w:rsidRPr="00000000" w14:paraId="00000056">
      <w:pPr>
        <w:spacing w:after="0" w:line="240" w:lineRule="auto"/>
        <w:rPr>
          <w:rFonts w:ascii="The Wave Sans TT" w:cs="The Wave Sans TT" w:eastAsia="The Wave Sans TT" w:hAnsi="The Wave Sans TT"/>
          <w:b w:val="1"/>
          <w:sz w:val="21"/>
          <w:szCs w:val="21"/>
        </w:rPr>
      </w:pPr>
      <w:r w:rsidDel="00000000" w:rsidR="00000000" w:rsidRPr="00000000">
        <w:rPr>
          <w:rFonts w:ascii="The Wave Sans TT" w:cs="The Wave Sans TT" w:eastAsia="The Wave Sans TT" w:hAnsi="The Wave Sans TT"/>
          <w:b w:val="1"/>
          <w:sz w:val="21"/>
          <w:szCs w:val="21"/>
          <w:rtl w:val="0"/>
        </w:rPr>
        <w:t xml:space="preserve">HELLENiQ ENERGY Holdings A.E.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he Wave Sans TT" w:cs="The Wave Sans TT" w:eastAsia="The Wave Sans TT" w:hAnsi="The Wave Sans TT"/>
          <w:b w:val="1"/>
          <w:i w:val="0"/>
          <w:smallCaps w:val="0"/>
          <w:strike w:val="0"/>
          <w:color w:val="000000"/>
          <w:sz w:val="21"/>
          <w:szCs w:val="21"/>
          <w:u w:val="none"/>
          <w:shd w:fill="auto" w:val="clear"/>
          <w:vertAlign w:val="baseline"/>
        </w:rPr>
      </w:pPr>
      <w:r w:rsidDel="00000000" w:rsidR="00000000" w:rsidRPr="00000000">
        <w:rPr>
          <w:rFonts w:ascii="The Wave Sans TT" w:cs="The Wave Sans TT" w:eastAsia="The Wave Sans TT" w:hAnsi="The Wave Sans TT"/>
          <w:b w:val="1"/>
          <w:i w:val="0"/>
          <w:smallCaps w:val="0"/>
          <w:strike w:val="0"/>
          <w:color w:val="000000"/>
          <w:sz w:val="21"/>
          <w:szCs w:val="21"/>
          <w:u w:val="none"/>
          <w:shd w:fill="auto" w:val="clear"/>
          <w:vertAlign w:val="baseline"/>
          <w:rtl w:val="0"/>
        </w:rPr>
        <w:t xml:space="preserve">Βασικά μεγέθη ενοποιημένων αποτελεσμάτων Χρήσης Α’ Τριμήνου 2024</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he Wave Sans TT" w:cs="The Wave Sans TT" w:eastAsia="The Wave Sans TT" w:hAnsi="The Wave Sans TT"/>
          <w:b w:val="0"/>
          <w:i w:val="0"/>
          <w:smallCaps w:val="0"/>
          <w:strike w:val="0"/>
          <w:color w:val="000000"/>
          <w:sz w:val="21"/>
          <w:szCs w:val="21"/>
          <w:u w:val="none"/>
          <w:shd w:fill="auto" w:val="clear"/>
          <w:vertAlign w:val="baseline"/>
        </w:rPr>
      </w:pPr>
      <w:r w:rsidDel="00000000" w:rsidR="00000000" w:rsidRPr="00000000">
        <w:rPr>
          <w:rFonts w:ascii="The Wave Sans TT" w:cs="The Wave Sans TT" w:eastAsia="The Wave Sans TT" w:hAnsi="The Wave Sans TT"/>
          <w:b w:val="0"/>
          <w:i w:val="0"/>
          <w:smallCaps w:val="0"/>
          <w:strike w:val="0"/>
          <w:color w:val="000000"/>
          <w:sz w:val="21"/>
          <w:szCs w:val="21"/>
          <w:u w:val="none"/>
          <w:shd w:fill="auto" w:val="clear"/>
          <w:vertAlign w:val="baseline"/>
          <w:rtl w:val="0"/>
        </w:rPr>
        <w:t xml:space="preserve">(σύμφωνα με τα Διεθνή Πρότυπα Χρηματοοικονομικής Πληροφόρησης)</w:t>
      </w:r>
    </w:p>
    <w:p w:rsidR="00000000" w:rsidDel="00000000" w:rsidP="00000000" w:rsidRDefault="00000000" w:rsidRPr="00000000" w14:paraId="00000059">
      <w:pPr>
        <w:spacing w:after="120" w:before="120" w:line="360" w:lineRule="auto"/>
        <w:ind w:right="187"/>
        <w:rPr>
          <w:rFonts w:ascii="The Wave Sans TT" w:cs="The Wave Sans TT" w:eastAsia="The Wave Sans TT" w:hAnsi="The Wave Sans TT"/>
          <w:i w:val="1"/>
          <w:sz w:val="16"/>
          <w:szCs w:val="16"/>
        </w:rPr>
      </w:pPr>
      <w:r w:rsidDel="00000000" w:rsidR="00000000" w:rsidRPr="00000000">
        <w:rPr>
          <w:rtl w:val="0"/>
        </w:rPr>
      </w:r>
    </w:p>
    <w:tbl>
      <w:tblPr>
        <w:tblStyle w:val="Table1"/>
        <w:tblW w:w="6077.0" w:type="dxa"/>
        <w:jc w:val="left"/>
        <w:tblInd w:w="1376.0" w:type="dxa"/>
        <w:tblBorders>
          <w:top w:color="000099" w:space="0" w:sz="4" w:val="single"/>
          <w:left w:color="000099" w:space="0" w:sz="4" w:val="single"/>
          <w:bottom w:color="000099" w:space="0" w:sz="4" w:val="single"/>
          <w:right w:color="000099" w:space="0" w:sz="4" w:val="single"/>
          <w:insideH w:color="0032a0" w:space="0" w:sz="4" w:val="single"/>
          <w:insideV w:color="0032a0" w:space="0" w:sz="4" w:val="single"/>
        </w:tblBorders>
        <w:tblLayout w:type="fixed"/>
        <w:tblLook w:val="0000"/>
      </w:tblPr>
      <w:tblGrid>
        <w:gridCol w:w="3415"/>
        <w:gridCol w:w="855"/>
        <w:gridCol w:w="855"/>
        <w:gridCol w:w="952"/>
        <w:tblGridChange w:id="0">
          <w:tblGrid>
            <w:gridCol w:w="3415"/>
            <w:gridCol w:w="855"/>
            <w:gridCol w:w="855"/>
            <w:gridCol w:w="952"/>
          </w:tblGrid>
        </w:tblGridChange>
      </w:tblGrid>
      <w:tr>
        <w:trPr>
          <w:cantSplit w:val="0"/>
          <w:trHeight w:val="432" w:hRule="atLeast"/>
          <w:tblHeader w:val="0"/>
        </w:trPr>
        <w:tc>
          <w:tcPr>
            <w:tcBorders>
              <w:top w:color="000099" w:space="0" w:sz="4" w:val="single"/>
              <w:left w:color="000099" w:space="0" w:sz="4" w:val="single"/>
              <w:bottom w:color="0032a0" w:space="0" w:sz="4" w:val="single"/>
              <w:right w:color="0032a0" w:space="0" w:sz="4" w:val="single"/>
            </w:tcBorders>
            <w:shd w:fill="0032a0" w:val="clear"/>
            <w:vAlign w:val="center"/>
          </w:tcPr>
          <w:p w:rsidR="00000000" w:rsidDel="00000000" w:rsidP="00000000" w:rsidRDefault="00000000" w:rsidRPr="00000000" w14:paraId="0000005A">
            <w:pPr>
              <w:spacing w:after="0" w:line="240" w:lineRule="auto"/>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 εκατ.</w:t>
            </w:r>
          </w:p>
        </w:tc>
        <w:tc>
          <w:tcPr>
            <w:tcBorders>
              <w:top w:color="000099" w:space="0" w:sz="4" w:val="single"/>
              <w:left w:color="0032a0" w:space="0" w:sz="4" w:val="single"/>
              <w:bottom w:color="0032a0" w:space="0" w:sz="4" w:val="single"/>
              <w:right w:color="0032a0" w:space="0" w:sz="4" w:val="single"/>
            </w:tcBorders>
            <w:shd w:fill="0032a0" w:val="clear"/>
            <w:vAlign w:val="center"/>
          </w:tcPr>
          <w:p w:rsidR="00000000" w:rsidDel="00000000" w:rsidP="00000000" w:rsidRDefault="00000000" w:rsidRPr="00000000" w14:paraId="0000005B">
            <w:pPr>
              <w:spacing w:after="0" w:line="240" w:lineRule="auto"/>
              <w:jc w:val="right"/>
              <w:rPr>
                <w:rFonts w:ascii="The Wave Sans TT" w:cs="The Wave Sans TT" w:eastAsia="The Wave Sans TT" w:hAnsi="The Wave Sans TT"/>
                <w:b w:val="1"/>
                <w:sz w:val="20"/>
                <w:szCs w:val="20"/>
              </w:rPr>
            </w:pPr>
            <w:r w:rsidDel="00000000" w:rsidR="00000000" w:rsidRPr="00000000">
              <w:rPr>
                <w:rFonts w:ascii="The Wave Sans TT" w:cs="The Wave Sans TT" w:eastAsia="The Wave Sans TT" w:hAnsi="The Wave Sans TT"/>
                <w:b w:val="1"/>
                <w:sz w:val="20"/>
                <w:szCs w:val="20"/>
                <w:rtl w:val="0"/>
              </w:rPr>
              <w:t xml:space="preserve">1Q23</w:t>
            </w:r>
          </w:p>
        </w:tc>
        <w:tc>
          <w:tcPr>
            <w:tcBorders>
              <w:top w:color="000099" w:space="0" w:sz="4" w:val="single"/>
              <w:left w:color="0032a0" w:space="0" w:sz="4" w:val="single"/>
              <w:bottom w:color="0032a0" w:space="0" w:sz="4" w:val="single"/>
              <w:right w:color="0032a0" w:space="0" w:sz="4" w:val="single"/>
            </w:tcBorders>
            <w:shd w:fill="0032a0" w:val="clear"/>
            <w:vAlign w:val="center"/>
          </w:tcPr>
          <w:p w:rsidR="00000000" w:rsidDel="00000000" w:rsidP="00000000" w:rsidRDefault="00000000" w:rsidRPr="00000000" w14:paraId="0000005C">
            <w:pPr>
              <w:spacing w:after="0" w:line="240" w:lineRule="auto"/>
              <w:jc w:val="right"/>
              <w:rPr>
                <w:rFonts w:ascii="The Wave Sans TT" w:cs="The Wave Sans TT" w:eastAsia="The Wave Sans TT" w:hAnsi="The Wave Sans TT"/>
                <w:b w:val="1"/>
                <w:sz w:val="20"/>
                <w:szCs w:val="20"/>
              </w:rPr>
            </w:pPr>
            <w:r w:rsidDel="00000000" w:rsidR="00000000" w:rsidRPr="00000000">
              <w:rPr>
                <w:rFonts w:ascii="The Wave Sans TT" w:cs="The Wave Sans TT" w:eastAsia="The Wave Sans TT" w:hAnsi="The Wave Sans TT"/>
                <w:b w:val="1"/>
                <w:sz w:val="20"/>
                <w:szCs w:val="20"/>
                <w:rtl w:val="0"/>
              </w:rPr>
              <w:t xml:space="preserve">1Q24</w:t>
            </w:r>
          </w:p>
        </w:tc>
        <w:tc>
          <w:tcPr>
            <w:tcBorders>
              <w:top w:color="000099" w:space="0" w:sz="4" w:val="single"/>
              <w:left w:color="0032a0" w:space="0" w:sz="4" w:val="single"/>
              <w:bottom w:color="0032a0" w:space="0" w:sz="4" w:val="single"/>
              <w:right w:color="000099" w:space="0" w:sz="4" w:val="single"/>
            </w:tcBorders>
            <w:shd w:fill="0032a0" w:val="clear"/>
            <w:vAlign w:val="center"/>
          </w:tcPr>
          <w:p w:rsidR="00000000" w:rsidDel="00000000" w:rsidP="00000000" w:rsidRDefault="00000000" w:rsidRPr="00000000" w14:paraId="0000005D">
            <w:pPr>
              <w:spacing w:after="0" w:line="240" w:lineRule="auto"/>
              <w:jc w:val="right"/>
              <w:rPr>
                <w:rFonts w:ascii="The Wave Sans TT" w:cs="The Wave Sans TT" w:eastAsia="The Wave Sans TT" w:hAnsi="The Wave Sans TT"/>
                <w:b w:val="1"/>
                <w:sz w:val="20"/>
                <w:szCs w:val="20"/>
              </w:rPr>
            </w:pPr>
            <w:r w:rsidDel="00000000" w:rsidR="00000000" w:rsidRPr="00000000">
              <w:rPr>
                <w:rFonts w:ascii="The Wave Sans TT" w:cs="The Wave Sans TT" w:eastAsia="The Wave Sans TT" w:hAnsi="The Wave Sans TT"/>
                <w:b w:val="1"/>
                <w:sz w:val="20"/>
                <w:szCs w:val="20"/>
                <w:rtl w:val="0"/>
              </w:rPr>
              <w:t xml:space="preserve">% Δ</w:t>
            </w:r>
          </w:p>
        </w:tc>
      </w:tr>
      <w:tr>
        <w:trPr>
          <w:cantSplit w:val="0"/>
          <w:trHeight w:val="432" w:hRule="atLeast"/>
          <w:tblHeader w:val="0"/>
        </w:trPr>
        <w:tc>
          <w:tcPr>
            <w:tcBorders>
              <w:top w:color="0032a0" w:space="0" w:sz="4" w:val="single"/>
              <w:left w:color="000099" w:space="0" w:sz="4" w:val="single"/>
              <w:bottom w:color="000000" w:space="0" w:sz="0" w:val="nil"/>
              <w:right w:color="000000" w:space="0" w:sz="0" w:val="nil"/>
            </w:tcBorders>
            <w:shd w:fill="e6e6eb" w:val="clear"/>
            <w:vAlign w:val="center"/>
          </w:tcPr>
          <w:p w:rsidR="00000000" w:rsidDel="00000000" w:rsidP="00000000" w:rsidRDefault="00000000" w:rsidRPr="00000000" w14:paraId="0000005E">
            <w:pPr>
              <w:spacing w:after="0" w:line="240" w:lineRule="auto"/>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b w:val="1"/>
                <w:sz w:val="20"/>
                <w:szCs w:val="20"/>
                <w:rtl w:val="0"/>
              </w:rPr>
              <w:t xml:space="preserve">Στοιχεία αποτελεσμάτων</w:t>
            </w:r>
            <w:r w:rsidDel="00000000" w:rsidR="00000000" w:rsidRPr="00000000">
              <w:rPr>
                <w:rtl w:val="0"/>
              </w:rPr>
            </w:r>
          </w:p>
        </w:tc>
        <w:tc>
          <w:tcPr>
            <w:tcBorders>
              <w:top w:color="0032a0" w:space="0" w:sz="4" w:val="single"/>
              <w:left w:color="000000" w:space="0" w:sz="0" w:val="nil"/>
              <w:bottom w:color="000000" w:space="0" w:sz="0" w:val="nil"/>
              <w:right w:color="000000" w:space="0" w:sz="0" w:val="nil"/>
            </w:tcBorders>
            <w:shd w:fill="e6e6eb" w:val="clear"/>
            <w:vAlign w:val="center"/>
          </w:tcPr>
          <w:p w:rsidR="00000000" w:rsidDel="00000000" w:rsidP="00000000" w:rsidRDefault="00000000" w:rsidRPr="00000000" w14:paraId="0000005F">
            <w:pPr>
              <w:spacing w:after="0" w:line="240" w:lineRule="auto"/>
              <w:rPr>
                <w:rFonts w:ascii="The Wave Sans TT" w:cs="The Wave Sans TT" w:eastAsia="The Wave Sans TT" w:hAnsi="The Wave Sans TT"/>
                <w:sz w:val="20"/>
                <w:szCs w:val="20"/>
              </w:rPr>
            </w:pPr>
            <w:r w:rsidDel="00000000" w:rsidR="00000000" w:rsidRPr="00000000">
              <w:rPr>
                <w:rtl w:val="0"/>
              </w:rPr>
            </w:r>
          </w:p>
        </w:tc>
        <w:tc>
          <w:tcPr>
            <w:tcBorders>
              <w:top w:color="0032a0" w:space="0" w:sz="4" w:val="single"/>
              <w:left w:color="000000" w:space="0" w:sz="0" w:val="nil"/>
              <w:bottom w:color="000000" w:space="0" w:sz="0" w:val="nil"/>
              <w:right w:color="000000" w:space="0" w:sz="0" w:val="nil"/>
            </w:tcBorders>
            <w:shd w:fill="e6e6eb" w:val="clear"/>
            <w:vAlign w:val="center"/>
          </w:tcPr>
          <w:p w:rsidR="00000000" w:rsidDel="00000000" w:rsidP="00000000" w:rsidRDefault="00000000" w:rsidRPr="00000000" w14:paraId="00000060">
            <w:pPr>
              <w:spacing w:after="0" w:line="240" w:lineRule="auto"/>
              <w:rPr>
                <w:rFonts w:ascii="The Wave Sans TT" w:cs="The Wave Sans TT" w:eastAsia="The Wave Sans TT" w:hAnsi="The Wave Sans TT"/>
                <w:sz w:val="20"/>
                <w:szCs w:val="20"/>
              </w:rPr>
            </w:pPr>
            <w:r w:rsidDel="00000000" w:rsidR="00000000" w:rsidRPr="00000000">
              <w:rPr>
                <w:rtl w:val="0"/>
              </w:rPr>
            </w:r>
          </w:p>
        </w:tc>
        <w:tc>
          <w:tcPr>
            <w:tcBorders>
              <w:top w:color="0032a0" w:space="0" w:sz="4" w:val="single"/>
              <w:left w:color="000000" w:space="0" w:sz="0" w:val="nil"/>
              <w:bottom w:color="000000" w:space="0" w:sz="0" w:val="nil"/>
              <w:right w:color="000099" w:space="0" w:sz="4" w:val="single"/>
            </w:tcBorders>
            <w:shd w:fill="e6e6eb" w:val="clear"/>
          </w:tcPr>
          <w:p w:rsidR="00000000" w:rsidDel="00000000" w:rsidP="00000000" w:rsidRDefault="00000000" w:rsidRPr="00000000" w14:paraId="00000061">
            <w:pPr>
              <w:spacing w:after="0" w:line="240" w:lineRule="auto"/>
              <w:rPr>
                <w:rFonts w:ascii="The Wave Sans TT" w:cs="The Wave Sans TT" w:eastAsia="The Wave Sans TT" w:hAnsi="The Wave Sans TT"/>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99" w:space="0" w:sz="4" w:val="single"/>
              <w:bottom w:color="000000" w:space="0" w:sz="0" w:val="nil"/>
              <w:right w:color="000000" w:space="0" w:sz="0" w:val="nil"/>
            </w:tcBorders>
            <w:vAlign w:val="center"/>
          </w:tcPr>
          <w:p w:rsidR="00000000" w:rsidDel="00000000" w:rsidP="00000000" w:rsidRDefault="00000000" w:rsidRPr="00000000" w14:paraId="00000062">
            <w:pPr>
              <w:spacing w:after="0" w:line="240" w:lineRule="auto"/>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Όγκοι πωλήσεων Διύλισης (χιλ. ΜΤ)</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3">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3.688</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4">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3.987</w:t>
            </w:r>
          </w:p>
        </w:tc>
        <w:tc>
          <w:tcPr>
            <w:tcBorders>
              <w:top w:color="000000" w:space="0" w:sz="0" w:val="nil"/>
              <w:left w:color="000000" w:space="0" w:sz="0" w:val="nil"/>
              <w:bottom w:color="000000" w:space="0" w:sz="0" w:val="nil"/>
              <w:right w:color="000099" w:space="0" w:sz="4" w:val="single"/>
            </w:tcBorders>
            <w:vAlign w:val="center"/>
          </w:tcPr>
          <w:p w:rsidR="00000000" w:rsidDel="00000000" w:rsidP="00000000" w:rsidRDefault="00000000" w:rsidRPr="00000000" w14:paraId="00000065">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8%</w:t>
            </w:r>
          </w:p>
        </w:tc>
      </w:tr>
      <w:tr>
        <w:trPr>
          <w:cantSplit w:val="0"/>
          <w:trHeight w:val="432" w:hRule="atLeast"/>
          <w:tblHeader w:val="0"/>
        </w:trPr>
        <w:tc>
          <w:tcPr>
            <w:tcBorders>
              <w:top w:color="000000" w:space="0" w:sz="0" w:val="nil"/>
              <w:left w:color="000099" w:space="0" w:sz="4" w:val="single"/>
              <w:bottom w:color="000000" w:space="0" w:sz="0" w:val="nil"/>
              <w:right w:color="000000" w:space="0" w:sz="0" w:val="nil"/>
            </w:tcBorders>
            <w:vAlign w:val="center"/>
          </w:tcPr>
          <w:p w:rsidR="00000000" w:rsidDel="00000000" w:rsidP="00000000" w:rsidRDefault="00000000" w:rsidRPr="00000000" w14:paraId="00000066">
            <w:pPr>
              <w:spacing w:after="0" w:line="240" w:lineRule="auto"/>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Πωλήσεις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7">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3.113</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8">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3.278</w:t>
            </w:r>
          </w:p>
        </w:tc>
        <w:tc>
          <w:tcPr>
            <w:tcBorders>
              <w:top w:color="000000" w:space="0" w:sz="0" w:val="nil"/>
              <w:left w:color="000000" w:space="0" w:sz="0" w:val="nil"/>
              <w:bottom w:color="000000" w:space="0" w:sz="0" w:val="nil"/>
              <w:right w:color="000099" w:space="0" w:sz="4" w:val="single"/>
            </w:tcBorders>
            <w:vAlign w:val="center"/>
          </w:tcPr>
          <w:p w:rsidR="00000000" w:rsidDel="00000000" w:rsidP="00000000" w:rsidRDefault="00000000" w:rsidRPr="00000000" w14:paraId="00000069">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5%</w:t>
            </w:r>
          </w:p>
        </w:tc>
      </w:tr>
      <w:tr>
        <w:trPr>
          <w:cantSplit w:val="0"/>
          <w:trHeight w:val="432" w:hRule="atLeast"/>
          <w:tblHeader w:val="0"/>
        </w:trPr>
        <w:tc>
          <w:tcPr>
            <w:tcBorders>
              <w:top w:color="000000" w:space="0" w:sz="0" w:val="nil"/>
              <w:left w:color="000099" w:space="0" w:sz="4" w:val="single"/>
              <w:bottom w:color="000000" w:space="0" w:sz="0" w:val="nil"/>
              <w:right w:color="000000" w:space="0" w:sz="0" w:val="nil"/>
            </w:tcBorders>
            <w:vAlign w:val="center"/>
          </w:tcPr>
          <w:p w:rsidR="00000000" w:rsidDel="00000000" w:rsidP="00000000" w:rsidRDefault="00000000" w:rsidRPr="00000000" w14:paraId="0000006A">
            <w:pPr>
              <w:spacing w:after="0" w:line="240" w:lineRule="auto"/>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EBITDA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B">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279</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C">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350</w:t>
            </w:r>
          </w:p>
        </w:tc>
        <w:tc>
          <w:tcPr>
            <w:tcBorders>
              <w:top w:color="000000" w:space="0" w:sz="0" w:val="nil"/>
              <w:left w:color="000000" w:space="0" w:sz="0" w:val="nil"/>
              <w:bottom w:color="000000" w:space="0" w:sz="0" w:val="nil"/>
              <w:right w:color="000099" w:space="0" w:sz="4" w:val="single"/>
            </w:tcBorders>
            <w:vAlign w:val="center"/>
          </w:tcPr>
          <w:p w:rsidR="00000000" w:rsidDel="00000000" w:rsidP="00000000" w:rsidRDefault="00000000" w:rsidRPr="00000000" w14:paraId="0000006D">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25%</w:t>
            </w:r>
          </w:p>
        </w:tc>
      </w:tr>
      <w:tr>
        <w:trPr>
          <w:cantSplit w:val="0"/>
          <w:trHeight w:val="432" w:hRule="atLeast"/>
          <w:tblHeader w:val="0"/>
        </w:trPr>
        <w:tc>
          <w:tcPr>
            <w:tcBorders>
              <w:top w:color="000000" w:space="0" w:sz="0" w:val="nil"/>
              <w:left w:color="000099" w:space="0" w:sz="4" w:val="single"/>
              <w:bottom w:color="000000" w:space="0" w:sz="0" w:val="nil"/>
              <w:right w:color="000000" w:space="0" w:sz="0" w:val="nil"/>
            </w:tcBorders>
            <w:vAlign w:val="center"/>
          </w:tcPr>
          <w:p w:rsidR="00000000" w:rsidDel="00000000" w:rsidP="00000000" w:rsidRDefault="00000000" w:rsidRPr="00000000" w14:paraId="0000006E">
            <w:pPr>
              <w:spacing w:after="0" w:line="240" w:lineRule="auto"/>
              <w:rPr>
                <w:rFonts w:ascii="The Wave Sans TT" w:cs="The Wave Sans TT" w:eastAsia="The Wave Sans TT" w:hAnsi="The Wave Sans TT"/>
                <w:b w:val="1"/>
                <w:sz w:val="20"/>
                <w:szCs w:val="20"/>
              </w:rPr>
            </w:pPr>
            <w:r w:rsidDel="00000000" w:rsidR="00000000" w:rsidRPr="00000000">
              <w:rPr>
                <w:rFonts w:ascii="The Wave Sans TT" w:cs="The Wave Sans TT" w:eastAsia="The Wave Sans TT" w:hAnsi="The Wave Sans TT"/>
                <w:b w:val="1"/>
                <w:sz w:val="20"/>
                <w:szCs w:val="20"/>
                <w:rtl w:val="0"/>
              </w:rPr>
              <w:t xml:space="preserve">Συγκρίσιμα EBITDA </w:t>
            </w:r>
            <w:r w:rsidDel="00000000" w:rsidR="00000000" w:rsidRPr="00000000">
              <w:rPr>
                <w:rFonts w:ascii="The Wave Sans TT" w:cs="The Wave Sans TT" w:eastAsia="The Wave Sans TT" w:hAnsi="The Wave Sans TT"/>
                <w:b w:val="1"/>
                <w:sz w:val="20"/>
                <w:szCs w:val="2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F">
            <w:pPr>
              <w:spacing w:after="0" w:line="240" w:lineRule="auto"/>
              <w:jc w:val="right"/>
              <w:rPr>
                <w:rFonts w:ascii="The Wave Sans TT" w:cs="The Wave Sans TT" w:eastAsia="The Wave Sans TT" w:hAnsi="The Wave Sans TT"/>
                <w:b w:val="1"/>
                <w:sz w:val="20"/>
                <w:szCs w:val="20"/>
              </w:rPr>
            </w:pPr>
            <w:r w:rsidDel="00000000" w:rsidR="00000000" w:rsidRPr="00000000">
              <w:rPr>
                <w:rFonts w:ascii="The Wave Sans TT" w:cs="The Wave Sans TT" w:eastAsia="The Wave Sans TT" w:hAnsi="The Wave Sans TT"/>
                <w:b w:val="1"/>
                <w:sz w:val="20"/>
                <w:szCs w:val="20"/>
                <w:rtl w:val="0"/>
              </w:rPr>
              <w:t xml:space="preserve">404</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0">
            <w:pPr>
              <w:spacing w:after="0" w:line="240" w:lineRule="auto"/>
              <w:jc w:val="right"/>
              <w:rPr>
                <w:rFonts w:ascii="The Wave Sans TT" w:cs="The Wave Sans TT" w:eastAsia="The Wave Sans TT" w:hAnsi="The Wave Sans TT"/>
                <w:b w:val="1"/>
                <w:sz w:val="20"/>
                <w:szCs w:val="20"/>
              </w:rPr>
            </w:pPr>
            <w:r w:rsidDel="00000000" w:rsidR="00000000" w:rsidRPr="00000000">
              <w:rPr>
                <w:rFonts w:ascii="The Wave Sans TT" w:cs="The Wave Sans TT" w:eastAsia="The Wave Sans TT" w:hAnsi="The Wave Sans TT"/>
                <w:b w:val="1"/>
                <w:sz w:val="20"/>
                <w:szCs w:val="20"/>
                <w:rtl w:val="0"/>
              </w:rPr>
              <w:t xml:space="preserve">338</w:t>
            </w:r>
          </w:p>
        </w:tc>
        <w:tc>
          <w:tcPr>
            <w:tcBorders>
              <w:top w:color="000000" w:space="0" w:sz="0" w:val="nil"/>
              <w:left w:color="000000" w:space="0" w:sz="0" w:val="nil"/>
              <w:bottom w:color="000000" w:space="0" w:sz="0" w:val="nil"/>
              <w:right w:color="000099" w:space="0" w:sz="4" w:val="single"/>
            </w:tcBorders>
            <w:vAlign w:val="center"/>
          </w:tcPr>
          <w:p w:rsidR="00000000" w:rsidDel="00000000" w:rsidP="00000000" w:rsidRDefault="00000000" w:rsidRPr="00000000" w14:paraId="00000071">
            <w:pPr>
              <w:spacing w:after="0" w:line="240" w:lineRule="auto"/>
              <w:jc w:val="right"/>
              <w:rPr>
                <w:rFonts w:ascii="The Wave Sans TT" w:cs="The Wave Sans TT" w:eastAsia="The Wave Sans TT" w:hAnsi="The Wave Sans TT"/>
                <w:b w:val="1"/>
                <w:sz w:val="20"/>
                <w:szCs w:val="20"/>
              </w:rPr>
            </w:pPr>
            <w:r w:rsidDel="00000000" w:rsidR="00000000" w:rsidRPr="00000000">
              <w:rPr>
                <w:rFonts w:ascii="The Wave Sans TT" w:cs="The Wave Sans TT" w:eastAsia="The Wave Sans TT" w:hAnsi="The Wave Sans TT"/>
                <w:b w:val="1"/>
                <w:sz w:val="20"/>
                <w:szCs w:val="20"/>
                <w:rtl w:val="0"/>
              </w:rPr>
              <w:t xml:space="preserve">-16%</w:t>
            </w:r>
          </w:p>
        </w:tc>
      </w:tr>
      <w:tr>
        <w:trPr>
          <w:cantSplit w:val="0"/>
          <w:trHeight w:val="432" w:hRule="atLeast"/>
          <w:tblHeader w:val="0"/>
        </w:trPr>
        <w:tc>
          <w:tcPr>
            <w:tcBorders>
              <w:top w:color="000000" w:space="0" w:sz="0" w:val="nil"/>
              <w:left w:color="000099" w:space="0" w:sz="4" w:val="single"/>
              <w:bottom w:color="000000" w:space="0" w:sz="0" w:val="nil"/>
              <w:right w:color="000000" w:space="0" w:sz="0" w:val="nil"/>
            </w:tcBorders>
            <w:vAlign w:val="center"/>
          </w:tcPr>
          <w:p w:rsidR="00000000" w:rsidDel="00000000" w:rsidP="00000000" w:rsidRDefault="00000000" w:rsidRPr="00000000" w14:paraId="00000072">
            <w:pPr>
              <w:spacing w:after="0" w:line="240" w:lineRule="auto"/>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Λειτουργικό Αποτέλεσμα</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3">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202</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4">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268</w:t>
            </w:r>
          </w:p>
        </w:tc>
        <w:tc>
          <w:tcPr>
            <w:tcBorders>
              <w:top w:color="000000" w:space="0" w:sz="0" w:val="nil"/>
              <w:left w:color="000000" w:space="0" w:sz="0" w:val="nil"/>
              <w:bottom w:color="000000" w:space="0" w:sz="0" w:val="nil"/>
              <w:right w:color="000099" w:space="0" w:sz="4" w:val="single"/>
            </w:tcBorders>
            <w:vAlign w:val="center"/>
          </w:tcPr>
          <w:p w:rsidR="00000000" w:rsidDel="00000000" w:rsidP="00000000" w:rsidRDefault="00000000" w:rsidRPr="00000000" w14:paraId="00000075">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33%</w:t>
            </w:r>
          </w:p>
        </w:tc>
      </w:tr>
      <w:tr>
        <w:trPr>
          <w:cantSplit w:val="0"/>
          <w:trHeight w:val="432" w:hRule="atLeast"/>
          <w:tblHeader w:val="0"/>
        </w:trPr>
        <w:tc>
          <w:tcPr>
            <w:tcBorders>
              <w:top w:color="000000" w:space="0" w:sz="0" w:val="nil"/>
              <w:left w:color="000099" w:space="0" w:sz="4" w:val="single"/>
              <w:bottom w:color="000000" w:space="0" w:sz="0" w:val="nil"/>
              <w:right w:color="000000" w:space="0" w:sz="0" w:val="nil"/>
            </w:tcBorders>
            <w:vAlign w:val="center"/>
          </w:tcPr>
          <w:p w:rsidR="00000000" w:rsidDel="00000000" w:rsidP="00000000" w:rsidRDefault="00000000" w:rsidRPr="00000000" w14:paraId="00000076">
            <w:pPr>
              <w:spacing w:after="0" w:line="240" w:lineRule="auto"/>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Καθαρά Κέρδη</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7">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155</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8">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179</w:t>
            </w:r>
          </w:p>
        </w:tc>
        <w:tc>
          <w:tcPr>
            <w:tcBorders>
              <w:top w:color="000000" w:space="0" w:sz="0" w:val="nil"/>
              <w:left w:color="000000" w:space="0" w:sz="0" w:val="nil"/>
              <w:bottom w:color="000000" w:space="0" w:sz="0" w:val="nil"/>
              <w:right w:color="000099" w:space="0" w:sz="4" w:val="single"/>
            </w:tcBorders>
            <w:vAlign w:val="center"/>
          </w:tcPr>
          <w:p w:rsidR="00000000" w:rsidDel="00000000" w:rsidP="00000000" w:rsidRDefault="00000000" w:rsidRPr="00000000" w14:paraId="00000079">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16%</w:t>
            </w:r>
          </w:p>
        </w:tc>
      </w:tr>
      <w:tr>
        <w:trPr>
          <w:cantSplit w:val="0"/>
          <w:trHeight w:val="432" w:hRule="atLeast"/>
          <w:tblHeader w:val="0"/>
        </w:trPr>
        <w:tc>
          <w:tcPr>
            <w:tcBorders>
              <w:top w:color="000000" w:space="0" w:sz="0" w:val="nil"/>
              <w:left w:color="000099" w:space="0" w:sz="4" w:val="single"/>
              <w:bottom w:color="000000" w:space="0" w:sz="0" w:val="nil"/>
              <w:right w:color="000000" w:space="0" w:sz="0" w:val="nil"/>
            </w:tcBorders>
            <w:vAlign w:val="center"/>
          </w:tcPr>
          <w:p w:rsidR="00000000" w:rsidDel="00000000" w:rsidP="00000000" w:rsidRDefault="00000000" w:rsidRPr="00000000" w14:paraId="0000007A">
            <w:pPr>
              <w:spacing w:after="0" w:line="240" w:lineRule="auto"/>
              <w:rPr>
                <w:rFonts w:ascii="The Wave Sans TT" w:cs="The Wave Sans TT" w:eastAsia="The Wave Sans TT" w:hAnsi="The Wave Sans TT"/>
                <w:b w:val="1"/>
                <w:sz w:val="20"/>
                <w:szCs w:val="20"/>
              </w:rPr>
            </w:pPr>
            <w:r w:rsidDel="00000000" w:rsidR="00000000" w:rsidRPr="00000000">
              <w:rPr>
                <w:rFonts w:ascii="The Wave Sans TT" w:cs="The Wave Sans TT" w:eastAsia="The Wave Sans TT" w:hAnsi="The Wave Sans TT"/>
                <w:b w:val="1"/>
                <w:sz w:val="20"/>
                <w:szCs w:val="20"/>
                <w:rtl w:val="0"/>
              </w:rPr>
              <w:t xml:space="preserve">Συγκρίσιμα Καθαρά Κέρδη </w:t>
            </w:r>
            <w:r w:rsidDel="00000000" w:rsidR="00000000" w:rsidRPr="00000000">
              <w:rPr>
                <w:rFonts w:ascii="The Wave Sans TT" w:cs="The Wave Sans TT" w:eastAsia="The Wave Sans TT" w:hAnsi="The Wave Sans TT"/>
                <w:b w:val="1"/>
                <w:sz w:val="20"/>
                <w:szCs w:val="2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B">
            <w:pPr>
              <w:spacing w:after="0" w:line="240" w:lineRule="auto"/>
              <w:jc w:val="right"/>
              <w:rPr>
                <w:rFonts w:ascii="The Wave Sans TT" w:cs="The Wave Sans TT" w:eastAsia="The Wave Sans TT" w:hAnsi="The Wave Sans TT"/>
                <w:b w:val="1"/>
                <w:sz w:val="20"/>
                <w:szCs w:val="20"/>
              </w:rPr>
            </w:pPr>
            <w:r w:rsidDel="00000000" w:rsidR="00000000" w:rsidRPr="00000000">
              <w:rPr>
                <w:rFonts w:ascii="The Wave Sans TT" w:cs="The Wave Sans TT" w:eastAsia="The Wave Sans TT" w:hAnsi="The Wave Sans TT"/>
                <w:b w:val="1"/>
                <w:sz w:val="20"/>
                <w:szCs w:val="20"/>
                <w:rtl w:val="0"/>
              </w:rPr>
              <w:t xml:space="preserve">252</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C">
            <w:pPr>
              <w:spacing w:after="0" w:line="240" w:lineRule="auto"/>
              <w:jc w:val="right"/>
              <w:rPr>
                <w:rFonts w:ascii="The Wave Sans TT" w:cs="The Wave Sans TT" w:eastAsia="The Wave Sans TT" w:hAnsi="The Wave Sans TT"/>
                <w:b w:val="1"/>
                <w:sz w:val="20"/>
                <w:szCs w:val="20"/>
              </w:rPr>
            </w:pPr>
            <w:r w:rsidDel="00000000" w:rsidR="00000000" w:rsidRPr="00000000">
              <w:rPr>
                <w:rFonts w:ascii="The Wave Sans TT" w:cs="The Wave Sans TT" w:eastAsia="The Wave Sans TT" w:hAnsi="The Wave Sans TT"/>
                <w:b w:val="1"/>
                <w:sz w:val="20"/>
                <w:szCs w:val="20"/>
                <w:rtl w:val="0"/>
              </w:rPr>
              <w:t xml:space="preserve">164</w:t>
            </w:r>
          </w:p>
        </w:tc>
        <w:tc>
          <w:tcPr>
            <w:tcBorders>
              <w:top w:color="000000" w:space="0" w:sz="0" w:val="nil"/>
              <w:left w:color="000000" w:space="0" w:sz="0" w:val="nil"/>
              <w:bottom w:color="000000" w:space="0" w:sz="0" w:val="nil"/>
              <w:right w:color="000099" w:space="0" w:sz="4" w:val="single"/>
            </w:tcBorders>
            <w:vAlign w:val="center"/>
          </w:tcPr>
          <w:p w:rsidR="00000000" w:rsidDel="00000000" w:rsidP="00000000" w:rsidRDefault="00000000" w:rsidRPr="00000000" w14:paraId="0000007D">
            <w:pPr>
              <w:spacing w:after="0" w:line="240" w:lineRule="auto"/>
              <w:jc w:val="right"/>
              <w:rPr>
                <w:rFonts w:ascii="The Wave Sans TT" w:cs="The Wave Sans TT" w:eastAsia="The Wave Sans TT" w:hAnsi="The Wave Sans TT"/>
                <w:b w:val="1"/>
                <w:sz w:val="20"/>
                <w:szCs w:val="20"/>
              </w:rPr>
            </w:pPr>
            <w:r w:rsidDel="00000000" w:rsidR="00000000" w:rsidRPr="00000000">
              <w:rPr>
                <w:rFonts w:ascii="The Wave Sans TT" w:cs="The Wave Sans TT" w:eastAsia="The Wave Sans TT" w:hAnsi="The Wave Sans TT"/>
                <w:b w:val="1"/>
                <w:sz w:val="20"/>
                <w:szCs w:val="20"/>
                <w:rtl w:val="0"/>
              </w:rPr>
              <w:t xml:space="preserve">-35%</w:t>
            </w:r>
          </w:p>
        </w:tc>
      </w:tr>
      <w:tr>
        <w:trPr>
          <w:cantSplit w:val="0"/>
          <w:trHeight w:val="432" w:hRule="atLeast"/>
          <w:tblHeader w:val="0"/>
        </w:trPr>
        <w:tc>
          <w:tcPr>
            <w:tcBorders>
              <w:top w:color="000000" w:space="0" w:sz="0" w:val="nil"/>
              <w:left w:color="000099" w:space="0" w:sz="4" w:val="single"/>
              <w:bottom w:color="000000" w:space="0" w:sz="0" w:val="nil"/>
              <w:right w:color="000000" w:space="0" w:sz="0" w:val="nil"/>
            </w:tcBorders>
            <w:shd w:fill="e6e6eb" w:val="clear"/>
            <w:vAlign w:val="center"/>
          </w:tcPr>
          <w:p w:rsidR="00000000" w:rsidDel="00000000" w:rsidP="00000000" w:rsidRDefault="00000000" w:rsidRPr="00000000" w14:paraId="0000007E">
            <w:pPr>
              <w:spacing w:after="0" w:line="240" w:lineRule="auto"/>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b w:val="1"/>
                <w:sz w:val="20"/>
                <w:szCs w:val="20"/>
                <w:rtl w:val="0"/>
              </w:rPr>
              <w:t xml:space="preserve">Κύρια Στοιχεία Ισολογισμού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6e6eb" w:val="clear"/>
            <w:vAlign w:val="center"/>
          </w:tcPr>
          <w:p w:rsidR="00000000" w:rsidDel="00000000" w:rsidP="00000000" w:rsidRDefault="00000000" w:rsidRPr="00000000" w14:paraId="0000007F">
            <w:pPr>
              <w:spacing w:after="0" w:line="240" w:lineRule="auto"/>
              <w:jc w:val="right"/>
              <w:rPr>
                <w:rFonts w:ascii="The Wave Sans TT" w:cs="The Wave Sans TT" w:eastAsia="The Wave Sans TT" w:hAnsi="The Wave Sans TT"/>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6e6eb" w:val="clear"/>
            <w:vAlign w:val="center"/>
          </w:tcPr>
          <w:p w:rsidR="00000000" w:rsidDel="00000000" w:rsidP="00000000" w:rsidRDefault="00000000" w:rsidRPr="00000000" w14:paraId="00000080">
            <w:pPr>
              <w:spacing w:after="0" w:line="240" w:lineRule="auto"/>
              <w:jc w:val="right"/>
              <w:rPr>
                <w:rFonts w:ascii="The Wave Sans TT" w:cs="The Wave Sans TT" w:eastAsia="The Wave Sans TT" w:hAnsi="The Wave Sans TT"/>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99" w:space="0" w:sz="4" w:val="single"/>
            </w:tcBorders>
            <w:shd w:fill="e6e6eb" w:val="clear"/>
            <w:vAlign w:val="center"/>
          </w:tcPr>
          <w:p w:rsidR="00000000" w:rsidDel="00000000" w:rsidP="00000000" w:rsidRDefault="00000000" w:rsidRPr="00000000" w14:paraId="00000081">
            <w:pPr>
              <w:spacing w:after="0" w:line="240" w:lineRule="auto"/>
              <w:jc w:val="right"/>
              <w:rPr>
                <w:rFonts w:ascii="The Wave Sans TT" w:cs="The Wave Sans TT" w:eastAsia="The Wave Sans TT" w:hAnsi="The Wave Sans TT"/>
                <w:b w:val="1"/>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99" w:space="0" w:sz="4" w:val="single"/>
              <w:bottom w:color="000000" w:space="0" w:sz="0" w:val="nil"/>
              <w:right w:color="000000" w:space="0" w:sz="0" w:val="nil"/>
            </w:tcBorders>
            <w:vAlign w:val="center"/>
          </w:tcPr>
          <w:p w:rsidR="00000000" w:rsidDel="00000000" w:rsidP="00000000" w:rsidRDefault="00000000" w:rsidRPr="00000000" w14:paraId="00000082">
            <w:pPr>
              <w:spacing w:after="0" w:line="240" w:lineRule="auto"/>
              <w:rPr>
                <w:rFonts w:ascii="The Wave Sans TT" w:cs="The Wave Sans TT" w:eastAsia="The Wave Sans TT" w:hAnsi="The Wave Sans TT"/>
                <w:b w:val="1"/>
                <w:sz w:val="20"/>
                <w:szCs w:val="20"/>
              </w:rPr>
            </w:pPr>
            <w:r w:rsidDel="00000000" w:rsidR="00000000" w:rsidRPr="00000000">
              <w:rPr>
                <w:rFonts w:ascii="The Wave Sans TT" w:cs="The Wave Sans TT" w:eastAsia="The Wave Sans TT" w:hAnsi="The Wave Sans TT"/>
                <w:sz w:val="20"/>
                <w:szCs w:val="20"/>
                <w:rtl w:val="0"/>
              </w:rPr>
              <w:t xml:space="preserve">Απασχολούμενα Κεφάλαια</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3">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4.331</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4">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4.887</w:t>
            </w:r>
          </w:p>
        </w:tc>
        <w:tc>
          <w:tcPr>
            <w:tcBorders>
              <w:top w:color="000000" w:space="0" w:sz="0" w:val="nil"/>
              <w:left w:color="000000" w:space="0" w:sz="0" w:val="nil"/>
              <w:bottom w:color="000000" w:space="0" w:sz="0" w:val="nil"/>
              <w:right w:color="000099" w:space="0" w:sz="4" w:val="single"/>
            </w:tcBorders>
            <w:vAlign w:val="center"/>
          </w:tcPr>
          <w:p w:rsidR="00000000" w:rsidDel="00000000" w:rsidP="00000000" w:rsidRDefault="00000000" w:rsidRPr="00000000" w14:paraId="00000085">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13%</w:t>
            </w:r>
          </w:p>
        </w:tc>
      </w:tr>
      <w:tr>
        <w:trPr>
          <w:cantSplit w:val="0"/>
          <w:trHeight w:val="432" w:hRule="atLeast"/>
          <w:tblHeader w:val="0"/>
        </w:trPr>
        <w:tc>
          <w:tcPr>
            <w:tcBorders>
              <w:top w:color="000000" w:space="0" w:sz="0" w:val="nil"/>
              <w:left w:color="000099" w:space="0" w:sz="4" w:val="single"/>
              <w:bottom w:color="000000" w:space="0" w:sz="0" w:val="nil"/>
              <w:right w:color="000000" w:space="0" w:sz="0" w:val="nil"/>
            </w:tcBorders>
            <w:vAlign w:val="center"/>
          </w:tcPr>
          <w:p w:rsidR="00000000" w:rsidDel="00000000" w:rsidP="00000000" w:rsidRDefault="00000000" w:rsidRPr="00000000" w14:paraId="00000086">
            <w:pPr>
              <w:spacing w:after="0" w:line="240" w:lineRule="auto"/>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Καθαρός Δανεισμός</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7">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1.454</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8">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1.750</w:t>
            </w:r>
          </w:p>
        </w:tc>
        <w:tc>
          <w:tcPr>
            <w:tcBorders>
              <w:top w:color="000000" w:space="0" w:sz="0" w:val="nil"/>
              <w:left w:color="000000" w:space="0" w:sz="0" w:val="nil"/>
              <w:bottom w:color="000000" w:space="0" w:sz="0" w:val="nil"/>
              <w:right w:color="000099" w:space="0" w:sz="4" w:val="single"/>
            </w:tcBorders>
            <w:vAlign w:val="center"/>
          </w:tcPr>
          <w:p w:rsidR="00000000" w:rsidDel="00000000" w:rsidP="00000000" w:rsidRDefault="00000000" w:rsidRPr="00000000" w14:paraId="00000089">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20%</w:t>
            </w:r>
          </w:p>
        </w:tc>
      </w:tr>
      <w:tr>
        <w:trPr>
          <w:cantSplit w:val="0"/>
          <w:trHeight w:val="432" w:hRule="atLeast"/>
          <w:tblHeader w:val="0"/>
        </w:trPr>
        <w:tc>
          <w:tcPr>
            <w:tcBorders>
              <w:top w:color="000000" w:space="0" w:sz="0" w:val="nil"/>
              <w:left w:color="000099" w:space="0" w:sz="4" w:val="single"/>
              <w:bottom w:color="000099" w:space="0" w:sz="4" w:val="single"/>
              <w:right w:color="000000" w:space="0" w:sz="0" w:val="nil"/>
            </w:tcBorders>
            <w:vAlign w:val="center"/>
          </w:tcPr>
          <w:p w:rsidR="00000000" w:rsidDel="00000000" w:rsidP="00000000" w:rsidRDefault="00000000" w:rsidRPr="00000000" w14:paraId="0000008A">
            <w:pPr>
              <w:spacing w:after="0" w:line="240" w:lineRule="auto"/>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Συντελεστής Δανειακής Μόχλευσης </w:t>
            </w:r>
          </w:p>
        </w:tc>
        <w:tc>
          <w:tcPr>
            <w:tcBorders>
              <w:top w:color="000000" w:space="0" w:sz="0" w:val="nil"/>
              <w:left w:color="000000" w:space="0" w:sz="0" w:val="nil"/>
              <w:bottom w:color="000099" w:space="0" w:sz="4" w:val="single"/>
              <w:right w:color="000000" w:space="0" w:sz="0" w:val="nil"/>
            </w:tcBorders>
            <w:vAlign w:val="center"/>
          </w:tcPr>
          <w:p w:rsidR="00000000" w:rsidDel="00000000" w:rsidP="00000000" w:rsidRDefault="00000000" w:rsidRPr="00000000" w14:paraId="0000008B">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34%</w:t>
            </w:r>
          </w:p>
        </w:tc>
        <w:tc>
          <w:tcPr>
            <w:tcBorders>
              <w:top w:color="000000" w:space="0" w:sz="0" w:val="nil"/>
              <w:left w:color="000000" w:space="0" w:sz="0" w:val="nil"/>
              <w:bottom w:color="000099" w:space="0" w:sz="4" w:val="single"/>
              <w:right w:color="000000" w:space="0" w:sz="0" w:val="nil"/>
            </w:tcBorders>
            <w:vAlign w:val="center"/>
          </w:tcPr>
          <w:p w:rsidR="00000000" w:rsidDel="00000000" w:rsidP="00000000" w:rsidRDefault="00000000" w:rsidRPr="00000000" w14:paraId="0000008C">
            <w:pPr>
              <w:spacing w:after="0" w:line="240" w:lineRule="auto"/>
              <w:jc w:val="right"/>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36%</w:t>
            </w:r>
          </w:p>
        </w:tc>
        <w:tc>
          <w:tcPr>
            <w:tcBorders>
              <w:top w:color="000000" w:space="0" w:sz="0" w:val="nil"/>
              <w:left w:color="000000" w:space="0" w:sz="0" w:val="nil"/>
              <w:bottom w:color="000099" w:space="0" w:sz="4" w:val="single"/>
              <w:right w:color="000099" w:space="0" w:sz="4" w:val="single"/>
            </w:tcBorders>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199" w:firstLine="0"/>
              <w:jc w:val="right"/>
              <w:rPr>
                <w:rFonts w:ascii="The Wave Sans TT" w:cs="The Wave Sans TT" w:eastAsia="The Wave Sans TT" w:hAnsi="The Wave Sans TT"/>
                <w:b w:val="0"/>
                <w:i w:val="0"/>
                <w:smallCaps w:val="0"/>
                <w:strike w:val="0"/>
                <w:color w:val="000000"/>
                <w:sz w:val="20"/>
                <w:szCs w:val="20"/>
                <w:u w:val="none"/>
                <w:shd w:fill="auto" w:val="clear"/>
                <w:vertAlign w:val="superscript"/>
              </w:rPr>
            </w:pPr>
            <w:r w:rsidDel="00000000" w:rsidR="00000000" w:rsidRPr="00000000">
              <w:rPr>
                <w:rFonts w:ascii="The Wave Sans TT" w:cs="The Wave Sans TT" w:eastAsia="The Wave Sans TT" w:hAnsi="The Wave Sans TT"/>
                <w:b w:val="0"/>
                <w:i w:val="0"/>
                <w:smallCaps w:val="0"/>
                <w:strike w:val="0"/>
                <w:color w:val="000000"/>
                <w:sz w:val="20"/>
                <w:szCs w:val="20"/>
                <w:u w:val="none"/>
                <w:shd w:fill="auto" w:val="clear"/>
                <w:vertAlign w:val="baseline"/>
                <w:rtl w:val="0"/>
              </w:rPr>
              <w:t xml:space="preserve">+2 π.μ</w:t>
            </w:r>
            <w:r w:rsidDel="00000000" w:rsidR="00000000" w:rsidRPr="00000000">
              <w:rPr>
                <w:rFonts w:ascii="The Wave Sans TT" w:cs="The Wave Sans TT" w:eastAsia="The Wave Sans TT" w:hAnsi="The Wave Sans TT"/>
                <w:b w:val="0"/>
                <w:i w:val="0"/>
                <w:smallCaps w:val="0"/>
                <w:strike w:val="0"/>
                <w:color w:val="000000"/>
                <w:sz w:val="20"/>
                <w:szCs w:val="20"/>
                <w:u w:val="none"/>
                <w:shd w:fill="auto" w:val="clear"/>
                <w:vertAlign w:val="superscript"/>
                <w:rtl w:val="0"/>
              </w:rPr>
              <w:t xml:space="preserve">2 2</w:t>
            </w:r>
          </w:p>
        </w:tc>
      </w:tr>
    </w:tbl>
    <w:p w:rsidR="00000000" w:rsidDel="00000000" w:rsidP="00000000" w:rsidRDefault="00000000" w:rsidRPr="00000000" w14:paraId="0000008E">
      <w:pPr>
        <w:spacing w:after="0" w:line="240" w:lineRule="auto"/>
        <w:rPr>
          <w:rFonts w:ascii="The Wave Sans TT" w:cs="The Wave Sans TT" w:eastAsia="The Wave Sans TT" w:hAnsi="The Wave Sans TT"/>
          <w:i w:val="1"/>
          <w:sz w:val="16"/>
          <w:szCs w:val="16"/>
        </w:rPr>
      </w:pPr>
      <w:r w:rsidDel="00000000" w:rsidR="00000000" w:rsidRPr="00000000">
        <w:rPr>
          <w:rFonts w:ascii="The Wave Sans TT" w:cs="The Wave Sans TT" w:eastAsia="The Wave Sans TT" w:hAnsi="The Wave Sans TT"/>
          <w:i w:val="1"/>
          <w:sz w:val="16"/>
          <w:szCs w:val="16"/>
          <w:rtl w:val="0"/>
        </w:rPr>
        <w:t xml:space="preserve"> </w:t>
      </w:r>
    </w:p>
    <w:p w:rsidR="00000000" w:rsidDel="00000000" w:rsidP="00000000" w:rsidRDefault="00000000" w:rsidRPr="00000000" w14:paraId="0000008F">
      <w:pPr>
        <w:spacing w:after="120" w:before="120" w:line="360" w:lineRule="auto"/>
        <w:ind w:right="187"/>
        <w:rPr>
          <w:rFonts w:ascii="Arial" w:cs="Arial" w:eastAsia="Arial" w:hAnsi="Arial"/>
          <w:i w:val="1"/>
          <w:sz w:val="16"/>
          <w:szCs w:val="16"/>
          <w:vertAlign w:val="subscript"/>
        </w:rPr>
      </w:pPr>
      <w:r w:rsidDel="00000000" w:rsidR="00000000" w:rsidRPr="00000000">
        <w:rPr>
          <w:rFonts w:ascii="Arial" w:cs="Arial" w:eastAsia="Arial" w:hAnsi="Arial"/>
          <w:i w:val="1"/>
          <w:sz w:val="16"/>
          <w:szCs w:val="16"/>
          <w:rtl w:val="0"/>
        </w:rPr>
        <w:t xml:space="preserve">Σημείωση 1: Αναπροσαρμοσμένα για τις επιπτώσεις από την αποτίμηση των αποθεμάτων, μη λειτουργικών/έκτακτων στοιχείων, καθώς και του λογιστικού χειρισμού του ελλείματος δικαιωμάτων CO</w:t>
      </w:r>
      <w:r w:rsidDel="00000000" w:rsidR="00000000" w:rsidRPr="00000000">
        <w:rPr>
          <w:rFonts w:ascii="Arial" w:cs="Arial" w:eastAsia="Arial" w:hAnsi="Arial"/>
          <w:i w:val="1"/>
          <w:sz w:val="16"/>
          <w:szCs w:val="16"/>
          <w:vertAlign w:val="subscript"/>
          <w:rtl w:val="0"/>
        </w:rPr>
        <w:t xml:space="preserve">2</w:t>
      </w:r>
    </w:p>
    <w:p w:rsidR="00000000" w:rsidDel="00000000" w:rsidP="00000000" w:rsidRDefault="00000000" w:rsidRPr="00000000" w14:paraId="00000090">
      <w:pPr>
        <w:spacing w:after="120" w:before="120" w:line="360" w:lineRule="auto"/>
        <w:ind w:right="187"/>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Σημείωση 2: π.μ.: ποσοστιαίες μονάδες</w:t>
      </w:r>
    </w:p>
    <w:p w:rsidR="00000000" w:rsidDel="00000000" w:rsidP="00000000" w:rsidRDefault="00000000" w:rsidRPr="00000000" w14:paraId="00000091">
      <w:pPr>
        <w:rPr>
          <w:rFonts w:ascii="The Wave Sans TT" w:cs="The Wave Sans TT" w:eastAsia="The Wave Sans TT" w:hAnsi="The Wave Sans TT"/>
          <w:b w:val="1"/>
          <w:sz w:val="4"/>
          <w:szCs w:val="4"/>
        </w:rPr>
      </w:pPr>
      <w:r w:rsidDel="00000000" w:rsidR="00000000" w:rsidRPr="00000000">
        <w:rPr>
          <w:rtl w:val="0"/>
        </w:rPr>
      </w:r>
    </w:p>
    <w:p w:rsidR="00000000" w:rsidDel="00000000" w:rsidP="00000000" w:rsidRDefault="00000000" w:rsidRPr="00000000" w14:paraId="00000092">
      <w:pPr>
        <w:spacing w:line="360" w:lineRule="auto"/>
        <w:rPr>
          <w:rFonts w:ascii="The Wave Sans TT" w:cs="The Wave Sans TT" w:eastAsia="The Wave Sans TT" w:hAnsi="The Wave Sans TT"/>
          <w:b w:val="1"/>
          <w:sz w:val="20"/>
          <w:szCs w:val="20"/>
        </w:rPr>
      </w:pPr>
      <w:r w:rsidDel="00000000" w:rsidR="00000000" w:rsidRPr="00000000">
        <w:rPr>
          <w:rFonts w:ascii="The Wave Sans TT" w:cs="The Wave Sans TT" w:eastAsia="The Wave Sans TT" w:hAnsi="The Wave Sans TT"/>
          <w:b w:val="1"/>
          <w:sz w:val="20"/>
          <w:szCs w:val="20"/>
          <w:rtl w:val="0"/>
        </w:rPr>
        <w:t xml:space="preserve">Περισσότερες πληροφορίες:</w:t>
      </w:r>
    </w:p>
    <w:p w:rsidR="00000000" w:rsidDel="00000000" w:rsidP="00000000" w:rsidRDefault="00000000" w:rsidRPr="00000000" w14:paraId="00000093">
      <w:pPr>
        <w:spacing w:after="0" w:line="360" w:lineRule="auto"/>
        <w:rPr>
          <w:rFonts w:ascii="The Wave Sans TT" w:cs="The Wave Sans TT" w:eastAsia="The Wave Sans TT" w:hAnsi="The Wave Sans TT"/>
          <w:b w:val="1"/>
          <w:sz w:val="20"/>
          <w:szCs w:val="20"/>
        </w:rPr>
      </w:pPr>
      <w:bookmarkStart w:colFirst="0" w:colLast="0" w:name="_3znysh7" w:id="3"/>
      <w:bookmarkEnd w:id="3"/>
      <w:r w:rsidDel="00000000" w:rsidR="00000000" w:rsidRPr="00000000">
        <w:rPr>
          <w:rFonts w:ascii="The Wave Sans TT" w:cs="The Wave Sans TT" w:eastAsia="The Wave Sans TT" w:hAnsi="The Wave Sans TT"/>
          <w:b w:val="1"/>
          <w:sz w:val="20"/>
          <w:szCs w:val="20"/>
          <w:rtl w:val="0"/>
        </w:rPr>
        <w:t xml:space="preserve">Διεύθυνση Σχέσεων με Επενδυτές</w:t>
      </w:r>
    </w:p>
    <w:p w:rsidR="00000000" w:rsidDel="00000000" w:rsidP="00000000" w:rsidRDefault="00000000" w:rsidRPr="00000000" w14:paraId="00000094">
      <w:pPr>
        <w:spacing w:after="0" w:line="360" w:lineRule="auto"/>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Χειμάρρας 8A, 151 25 Μαρούσι, Αθήνα</w:t>
      </w:r>
    </w:p>
    <w:p w:rsidR="00000000" w:rsidDel="00000000" w:rsidP="00000000" w:rsidRDefault="00000000" w:rsidRPr="00000000" w14:paraId="00000095">
      <w:pPr>
        <w:widowControl w:val="0"/>
        <w:spacing w:after="0" w:line="360" w:lineRule="auto"/>
        <w:rPr>
          <w:rFonts w:ascii="The Wave Sans TT" w:cs="The Wave Sans TT" w:eastAsia="The Wave Sans TT" w:hAnsi="The Wave Sans TT"/>
          <w:sz w:val="20"/>
          <w:szCs w:val="20"/>
        </w:rPr>
      </w:pPr>
      <w:r w:rsidDel="00000000" w:rsidR="00000000" w:rsidRPr="00000000">
        <w:rPr>
          <w:rFonts w:ascii="The Wave Sans TT" w:cs="The Wave Sans TT" w:eastAsia="The Wave Sans TT" w:hAnsi="The Wave Sans TT"/>
          <w:sz w:val="20"/>
          <w:szCs w:val="20"/>
          <w:rtl w:val="0"/>
        </w:rPr>
        <w:t xml:space="preserve">Τηλ.: 210-6302526, 210-6302305</w:t>
      </w:r>
    </w:p>
    <w:p w:rsidR="00000000" w:rsidDel="00000000" w:rsidP="00000000" w:rsidRDefault="00000000" w:rsidRPr="00000000" w14:paraId="00000096">
      <w:pPr>
        <w:widowControl w:val="0"/>
        <w:tabs>
          <w:tab w:val="left" w:leader="none" w:pos="720"/>
          <w:tab w:val="left" w:leader="none" w:pos="1440"/>
          <w:tab w:val="left" w:leader="none" w:pos="2160"/>
          <w:tab w:val="left" w:leader="none" w:pos="6030"/>
        </w:tabs>
        <w:spacing w:after="0" w:line="360" w:lineRule="auto"/>
        <w:rPr/>
      </w:pPr>
      <w:r w:rsidDel="00000000" w:rsidR="00000000" w:rsidRPr="00000000">
        <w:rPr>
          <w:rFonts w:ascii="The Wave Sans TT" w:cs="The Wave Sans TT" w:eastAsia="The Wave Sans TT" w:hAnsi="The Wave Sans TT"/>
          <w:sz w:val="20"/>
          <w:szCs w:val="20"/>
          <w:rtl w:val="0"/>
        </w:rPr>
        <w:t xml:space="preserve">Email:</w:t>
      </w:r>
      <w:r w:rsidDel="00000000" w:rsidR="00000000" w:rsidRPr="00000000">
        <w:rPr>
          <w:rFonts w:ascii="The Wave Sans TT" w:cs="The Wave Sans TT" w:eastAsia="The Wave Sans TT" w:hAnsi="The Wave Sans TT"/>
          <w:rtl w:val="0"/>
        </w:rPr>
        <w:t xml:space="preserve"> </w:t>
      </w:r>
      <w:hyperlink r:id="rId6">
        <w:r w:rsidDel="00000000" w:rsidR="00000000" w:rsidRPr="00000000">
          <w:rPr>
            <w:rFonts w:ascii="The Wave Sans TT" w:cs="The Wave Sans TT" w:eastAsia="The Wave Sans TT" w:hAnsi="The Wave Sans TT"/>
            <w:color w:val="0000ff"/>
            <w:sz w:val="20"/>
            <w:szCs w:val="20"/>
            <w:u w:val="single"/>
            <w:rtl w:val="0"/>
          </w:rPr>
          <w:t xml:space="preserve">ir@helleniq.gr</w:t>
        </w:r>
      </w:hyperlink>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8" w:top="2750" w:left="1417" w:right="101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he Wave Sans TT"/>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220345</wp:posOffset>
              </wp:positionH>
              <wp:positionV relativeFrom="paragraph">
                <wp:posOffset>168275</wp:posOffset>
              </wp:positionV>
              <wp:extent cx="2979420" cy="297815"/>
              <wp:effectExtent b="0" l="0" r="0" t="0"/>
              <wp:wrapNone/>
              <wp:docPr id="1" name=""/>
              <a:graphic>
                <a:graphicData uri="http://schemas.microsoft.com/office/word/2010/wordprocessingShape">
                  <wps:wsp>
                    <wps:cNvSpPr txBox="1">
                      <a:spLocks/>
                    </wps:cNvSpPr>
                    <wps:spPr>
                      <a:xfrm>
                        <a:off x="0" y="0"/>
                        <a:ext cx="2979420" cy="297815"/>
                      </a:xfrm>
                      <a:prstGeom prst="rect">
                        <a:avLst/>
                      </a:prstGeom>
                      <a:noFill/>
                      <a:ln w="6350">
                        <a:noFill/>
                      </a:ln>
                    </wps:spPr>
                    <wps:txbx>
                      <w:txbxContent>
                        <w:p w:rsidR="004C53D7" w:rsidDel="00000000" w:rsidP="004D346D" w:rsidRDefault="004C53D7" w:rsidRPr="00760ECA" w14:paraId="63355F1B" w14:textId="77777777">
                          <w:pPr>
                            <w:rPr>
                              <w:rFonts w:ascii="The Wave Sans TT" w:hAnsi="The Wave Sans TT"/>
                              <w:color w:val="ffffff"/>
                              <w:sz w:val="24"/>
                              <w:szCs w:val="24"/>
                            </w:rPr>
                          </w:pPr>
                          <w:r w:rsidDel="00000000" w:rsidR="00000000" w:rsidRPr="00760ECA">
                            <w:rPr>
                              <w:rFonts w:ascii="The Wave Sans TT" w:eastAsia="Times New Roman" w:hAnsi="The Wave Sans TT"/>
                              <w:b w:val="1"/>
                              <w:bCs w:val="1"/>
                              <w:color w:val="ffffff"/>
                              <w:sz w:val="24"/>
                              <w:szCs w:val="24"/>
                              <w:lang w:bidi="he-IL" w:eastAsia="zh-TW" w:val="en-US"/>
                            </w:rPr>
                            <w:t>Empowering Tomorrow</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220345</wp:posOffset>
              </wp:positionH>
              <wp:positionV relativeFrom="paragraph">
                <wp:posOffset>168275</wp:posOffset>
              </wp:positionV>
              <wp:extent cx="2979420" cy="29781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79420" cy="2978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-315594</wp:posOffset>
          </wp:positionH>
          <wp:positionV relativeFrom="paragraph">
            <wp:posOffset>0</wp:posOffset>
          </wp:positionV>
          <wp:extent cx="1985645" cy="5715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85645" cy="571500"/>
                  </a:xfrm>
                  <a:prstGeom prst="rect"/>
                  <a:ln/>
                </pic:spPr>
              </pic:pic>
            </a:graphicData>
          </a:graphic>
        </wp:anchor>
      </w:drawing>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09" w:hanging="359.99999999999994"/>
      </w:pPr>
      <w:rPr>
        <w:rFonts w:ascii="Arial" w:cs="Arial" w:eastAsia="Arial" w:hAnsi="Arial"/>
        <w:color w:val="000000"/>
        <w:sz w:val="20"/>
        <w:szCs w:val="20"/>
      </w:rPr>
    </w:lvl>
    <w:lvl w:ilvl="1">
      <w:start w:val="1"/>
      <w:numFmt w:val="bullet"/>
      <w:lvlText w:val="o"/>
      <w:lvlJc w:val="left"/>
      <w:pPr>
        <w:ind w:left="1429" w:hanging="360"/>
      </w:pPr>
      <w:rPr>
        <w:rFonts w:ascii="Courier New" w:cs="Courier New" w:eastAsia="Courier New" w:hAnsi="Courier New"/>
      </w:rPr>
    </w:lvl>
    <w:lvl w:ilvl="2">
      <w:start w:val="1"/>
      <w:numFmt w:val="bullet"/>
      <w:lvlText w:val="▪"/>
      <w:lvlJc w:val="left"/>
      <w:pPr>
        <w:ind w:left="2149" w:hanging="360"/>
      </w:pPr>
      <w:rPr>
        <w:rFonts w:ascii="Noto Sans Symbols" w:cs="Noto Sans Symbols" w:eastAsia="Noto Sans Symbols" w:hAnsi="Noto Sans Symbols"/>
      </w:rPr>
    </w:lvl>
    <w:lvl w:ilvl="3">
      <w:start w:val="1"/>
      <w:numFmt w:val="bullet"/>
      <w:lvlText w:val="●"/>
      <w:lvlJc w:val="left"/>
      <w:pPr>
        <w:ind w:left="2869" w:hanging="360"/>
      </w:pPr>
      <w:rPr>
        <w:rFonts w:ascii="Noto Sans Symbols" w:cs="Noto Sans Symbols" w:eastAsia="Noto Sans Symbols" w:hAnsi="Noto Sans Symbols"/>
      </w:rPr>
    </w:lvl>
    <w:lvl w:ilvl="4">
      <w:start w:val="1"/>
      <w:numFmt w:val="bullet"/>
      <w:lvlText w:val="o"/>
      <w:lvlJc w:val="left"/>
      <w:pPr>
        <w:ind w:left="3589" w:hanging="360"/>
      </w:pPr>
      <w:rPr>
        <w:rFonts w:ascii="Courier New" w:cs="Courier New" w:eastAsia="Courier New" w:hAnsi="Courier New"/>
      </w:rPr>
    </w:lvl>
    <w:lvl w:ilvl="5">
      <w:start w:val="1"/>
      <w:numFmt w:val="bullet"/>
      <w:lvlText w:val="▪"/>
      <w:lvlJc w:val="left"/>
      <w:pPr>
        <w:ind w:left="4309" w:hanging="360"/>
      </w:pPr>
      <w:rPr>
        <w:rFonts w:ascii="Noto Sans Symbols" w:cs="Noto Sans Symbols" w:eastAsia="Noto Sans Symbols" w:hAnsi="Noto Sans Symbols"/>
      </w:rPr>
    </w:lvl>
    <w:lvl w:ilvl="6">
      <w:start w:val="1"/>
      <w:numFmt w:val="bullet"/>
      <w:lvlText w:val="●"/>
      <w:lvlJc w:val="left"/>
      <w:pPr>
        <w:ind w:left="5029" w:hanging="360"/>
      </w:pPr>
      <w:rPr>
        <w:rFonts w:ascii="Noto Sans Symbols" w:cs="Noto Sans Symbols" w:eastAsia="Noto Sans Symbols" w:hAnsi="Noto Sans Symbols"/>
      </w:rPr>
    </w:lvl>
    <w:lvl w:ilvl="7">
      <w:start w:val="1"/>
      <w:numFmt w:val="bullet"/>
      <w:lvlText w:val="o"/>
      <w:lvlJc w:val="left"/>
      <w:pPr>
        <w:ind w:left="5749" w:hanging="360"/>
      </w:pPr>
      <w:rPr>
        <w:rFonts w:ascii="Courier New" w:cs="Courier New" w:eastAsia="Courier New" w:hAnsi="Courier New"/>
      </w:rPr>
    </w:lvl>
    <w:lvl w:ilvl="8">
      <w:start w:val="1"/>
      <w:numFmt w:val="bullet"/>
      <w:lvlText w:val="▪"/>
      <w:lvlJc w:val="left"/>
      <w:pPr>
        <w:ind w:left="6469"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ir@helleniq.gr" TargetMode="Externa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